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1287"/>
        <w:gridCol w:w="875"/>
        <w:gridCol w:w="1428"/>
        <w:gridCol w:w="649"/>
        <w:gridCol w:w="731"/>
        <w:gridCol w:w="1366"/>
        <w:gridCol w:w="734"/>
        <w:gridCol w:w="757"/>
        <w:gridCol w:w="1129"/>
        <w:gridCol w:w="408"/>
      </w:tblGrid>
      <w:tr w:rsidR="00583463" w:rsidRPr="00021A86" w:rsidTr="008665D1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550E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zajęć: </w:t>
            </w:r>
          </w:p>
        </w:tc>
        <w:tc>
          <w:tcPr>
            <w:tcW w:w="0" w:type="auto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550E4" w:rsidRDefault="00655CB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  <w:r w:rsidR="00756280" w:rsidRPr="00B550E4">
              <w:rPr>
                <w:rFonts w:ascii="Times New Roman" w:hAnsi="Times New Roman" w:cs="Times New Roman"/>
                <w:b/>
                <w:sz w:val="20"/>
                <w:szCs w:val="20"/>
              </w:rPr>
              <w:t>togeny i szkodniki roślin energetycznych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550E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B550E4" w:rsidRDefault="0099069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3463" w:rsidRPr="000F50B7" w:rsidTr="008665D1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B550E4" w:rsidRDefault="00D809CC" w:rsidP="00D809CC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sz w:val="20"/>
                <w:szCs w:val="20"/>
              </w:rPr>
              <w:t>Nazwa zajęć w j. angielskim: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D809CC" w:rsidRPr="00B550E4" w:rsidRDefault="00756280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Pathogens and pests of energetic plants</w:t>
            </w:r>
          </w:p>
        </w:tc>
      </w:tr>
      <w:tr w:rsidR="00583463" w:rsidRPr="00021A86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809CC" w:rsidRPr="00B550E4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0E4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B550E4" w:rsidRDefault="00226FDF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</w:t>
            </w:r>
            <w:r w:rsidR="00655CB7" w:rsidRPr="00B5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EFA">
              <w:rPr>
                <w:rFonts w:ascii="Times New Roman" w:hAnsi="Times New Roman" w:cs="Times New Roman"/>
                <w:sz w:val="20"/>
                <w:szCs w:val="20"/>
              </w:rPr>
              <w:t>zdrowia r</w:t>
            </w:r>
            <w:r w:rsidR="00DB2995" w:rsidRPr="00B550E4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="00655CB7" w:rsidRPr="00B550E4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</w:p>
        </w:tc>
      </w:tr>
      <w:tr w:rsidR="00583463" w:rsidRPr="00021A86" w:rsidTr="008665D1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3463" w:rsidRPr="00B550E4" w:rsidTr="008665D1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B550E4" w:rsidRDefault="00BE51A1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1A40C5" w:rsidRPr="00B550E4" w:rsidTr="008665D1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226FDF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226FDF">
              <w:rPr>
                <w:rFonts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D809CC" w:rsidRPr="00B550E4" w:rsidRDefault="00D809CC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0E4" w:rsidRDefault="005B6C48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proofErr w:type="gramStart"/>
            <w:r w:rsidR="00D809CC" w:rsidRPr="00B550E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B550E4" w:rsidRDefault="00226FDF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D809CC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B550E4" w:rsidRDefault="00226FDF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5B6C48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D809CC" w:rsidRPr="00B550E4" w:rsidRDefault="00226FDF" w:rsidP="00D809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0E4" w:rsidRDefault="00D809CC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FDF">
              <w:rPr>
                <w:rFonts w:cs="Times New Roman"/>
                <w:bCs/>
                <w:sz w:val="16"/>
                <w:szCs w:val="16"/>
              </w:rPr>
              <w:t>Numer semestru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756280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B550E4" w:rsidRDefault="00226FDF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756280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</w:t>
            </w:r>
            <w:r w:rsidR="00AE31C9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zimowy</w:t>
            </w:r>
            <w:proofErr w:type="gramEnd"/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280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D809CC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emestr  letni </w:t>
            </w:r>
          </w:p>
        </w:tc>
      </w:tr>
      <w:tr w:rsidR="001A40C5" w:rsidRPr="00B550E4" w:rsidTr="008665D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B550E4" w:rsidRDefault="00D809CC" w:rsidP="00D809CC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B550E4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26FDF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226FDF">
              <w:rPr>
                <w:rFonts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B550E4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226FDF" w:rsidRDefault="00D809CC" w:rsidP="00D809CC">
            <w:pPr>
              <w:spacing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226FDF">
              <w:rPr>
                <w:rFonts w:cs="Times New Roman"/>
                <w:sz w:val="16"/>
                <w:szCs w:val="16"/>
              </w:rPr>
              <w:t>Numer katalogowy: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B550E4" w:rsidRDefault="00226FDF" w:rsidP="00F77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OGR-OR-S-5Z50.4</w:t>
            </w:r>
          </w:p>
        </w:tc>
      </w:tr>
      <w:tr w:rsidR="00D809CC" w:rsidRPr="00B550E4" w:rsidTr="008665D1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B550E4" w:rsidRDefault="00D809CC" w:rsidP="00D809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3463" w:rsidRPr="00B550E4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Prof. dr hab. Anna Tomczyk</w:t>
            </w:r>
          </w:p>
        </w:tc>
      </w:tr>
      <w:tr w:rsidR="00583463" w:rsidRPr="000F50B7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39"/>
            </w:tblGrid>
            <w:tr w:rsidR="00DB2995" w:rsidRPr="000F50B7" w:rsidTr="006006E6">
              <w:trPr>
                <w:trHeight w:val="75"/>
              </w:trPr>
              <w:tc>
                <w:tcPr>
                  <w:tcW w:w="7039" w:type="dxa"/>
                </w:tcPr>
                <w:p w:rsidR="00DB2995" w:rsidRPr="00B550E4" w:rsidRDefault="00FB6EFA" w:rsidP="000F50B7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  <w:r w:rsidR="00DB2995" w:rsidRPr="00B550E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r hab. </w:t>
                  </w:r>
                  <w:proofErr w:type="spellStart"/>
                  <w:r w:rsidR="00DB2995" w:rsidRPr="00B550E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Małgorzata</w:t>
                  </w:r>
                  <w:proofErr w:type="spellEnd"/>
                  <w:r w:rsidR="00DB2995" w:rsidRPr="00B550E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B2995" w:rsidRPr="00B550E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Schollenberger</w:t>
                  </w:r>
                  <w:proofErr w:type="spellEnd"/>
                  <w:r w:rsidR="00DB2995" w:rsidRPr="00B550E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  <w:p w:rsidR="00DB2995" w:rsidRPr="00226FDF" w:rsidRDefault="00FB6EFA" w:rsidP="000F50B7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P</w:t>
                  </w:r>
                  <w:r w:rsidR="00DB2995" w:rsidRPr="00B550E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rof. </w:t>
                  </w:r>
                  <w:proofErr w:type="spellStart"/>
                  <w:r w:rsidR="00DB2995" w:rsidRPr="00B550E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 w:rsidR="00DB2995" w:rsidRPr="00B550E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 xml:space="preserve"> hab. </w:t>
                  </w:r>
                  <w:r w:rsidR="00DB2995" w:rsidRPr="00226FD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 xml:space="preserve">Anna Tomczyk </w:t>
                  </w:r>
                </w:p>
              </w:tc>
            </w:tr>
          </w:tbl>
          <w:p w:rsidR="00DB2995" w:rsidRPr="00226FDF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583463" w:rsidRPr="00B550E4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FB6EFA" w:rsidP="00FB6EF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2995" w:rsidRPr="00B550E4">
              <w:rPr>
                <w:rFonts w:ascii="Times New Roman" w:hAnsi="Times New Roman" w:cs="Times New Roman"/>
                <w:sz w:val="16"/>
                <w:szCs w:val="16"/>
              </w:rPr>
              <w:t>Samodzielny Zakład Entomologii Stosowanej, 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modzielny Zakład Fitopatologii,</w:t>
            </w:r>
          </w:p>
        </w:tc>
      </w:tr>
      <w:tr w:rsidR="008665D1" w:rsidRPr="00B550E4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665D1" w:rsidRPr="00B550E4" w:rsidRDefault="008665D1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5D1" w:rsidRPr="00B550E4" w:rsidRDefault="008665D1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Ogrodnictwa</w:t>
            </w:r>
            <w:proofErr w:type="gramEnd"/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, Biotechnologii  i  Architektury Krajobrazu</w:t>
            </w:r>
          </w:p>
        </w:tc>
      </w:tr>
      <w:tr w:rsidR="00583463" w:rsidRPr="00B550E4" w:rsidTr="008665D1">
        <w:trPr>
          <w:trHeight w:val="173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756280" w:rsidP="00B550E4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B550E4">
              <w:rPr>
                <w:rFonts w:ascii="Times New Roman" w:hAnsi="Times New Roman" w:cs="Times New Roman"/>
                <w:szCs w:val="16"/>
              </w:rPr>
              <w:t>Celem zajęć jest zapoznanie studentów z patogenami i szkodnikami zagrażającym uprawom roślin energetycznych</w:t>
            </w:r>
          </w:p>
          <w:p w:rsidR="00756280" w:rsidRPr="00B550E4" w:rsidRDefault="00756280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: omówienie patogenów i szkodników występujących na takich roślinach energetycznych jak wierzba wiciowa,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miskant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, ślazowiec pensylwański, róża wielkokwiatowa. Omówienie warunków sprzyjających wystąpieniu tych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oraz ich szkodliwości dla roślin. Integrowana ochrona upraw roślin energetycznych przed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agrofagami</w:t>
            </w:r>
            <w:proofErr w:type="spellEnd"/>
          </w:p>
          <w:p w:rsidR="00756280" w:rsidRPr="00B550E4" w:rsidRDefault="00756280" w:rsidP="00B550E4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Cs w:val="16"/>
              </w:rPr>
              <w:t>ćwiczenia</w:t>
            </w:r>
            <w:proofErr w:type="gramEnd"/>
            <w:r w:rsidRPr="00B550E4">
              <w:rPr>
                <w:rFonts w:ascii="Times New Roman" w:hAnsi="Times New Roman" w:cs="Times New Roman"/>
                <w:szCs w:val="16"/>
              </w:rPr>
              <w:t xml:space="preserve"> laboratoryjne: prezentacja ważnych chorób i szkodników roślin energetycznych</w:t>
            </w:r>
          </w:p>
        </w:tc>
      </w:tr>
      <w:tr w:rsidR="00583463" w:rsidRPr="00B550E4" w:rsidTr="008665D1">
        <w:trPr>
          <w:trHeight w:val="558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756280" w:rsidRPr="00B550E4" w:rsidRDefault="00756280" w:rsidP="00226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226FD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B550E4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proofErr w:type="gramEnd"/>
            <w:r w:rsidR="00B550E4">
              <w:rPr>
                <w:rFonts w:ascii="Times New Roman" w:hAnsi="Times New Roman" w:cs="Times New Roman"/>
                <w:sz w:val="16"/>
                <w:szCs w:val="16"/>
              </w:rPr>
              <w:t xml:space="preserve"> godzin  15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DB2995" w:rsidRPr="00B550E4" w:rsidRDefault="00226FDF" w:rsidP="007562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CD55E2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B550E4">
              <w:rPr>
                <w:rFonts w:ascii="Times New Roman" w:hAnsi="Times New Roman" w:cs="Times New Roman"/>
                <w:sz w:val="16"/>
                <w:szCs w:val="16"/>
              </w:rPr>
              <w:t>liczba godzin  15</w:t>
            </w:r>
            <w:r w:rsidR="00756280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B2995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</w:tr>
      <w:tr w:rsidR="00583463" w:rsidRPr="00B550E4" w:rsidTr="008665D1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756280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multimedialna, prezentacja porażonego materiału roślinnego</w:t>
            </w:r>
          </w:p>
        </w:tc>
      </w:tr>
      <w:tr w:rsidR="00583463" w:rsidRPr="00B550E4" w:rsidTr="008665D1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95" w:rsidRPr="00B550E4" w:rsidRDefault="00756280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entomologia ogólna, fitopatologia </w:t>
            </w: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ogólna,  znajomość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podstawowych zasad identyfikacji grzybów i szkodników</w:t>
            </w:r>
          </w:p>
        </w:tc>
      </w:tr>
      <w:tr w:rsidR="00583463" w:rsidRPr="00B550E4" w:rsidTr="008665D1">
        <w:trPr>
          <w:trHeight w:val="1556"/>
        </w:trPr>
        <w:tc>
          <w:tcPr>
            <w:tcW w:w="0" w:type="auto"/>
            <w:gridSpan w:val="2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0" w:type="auto"/>
            <w:gridSpan w:val="3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756280" w:rsidRPr="00B550E4" w:rsidRDefault="001A40C5" w:rsidP="00B550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W_01 - </w:t>
            </w:r>
            <w:r w:rsidR="00E715D6">
              <w:rPr>
                <w:rFonts w:ascii="Times New Roman" w:hAnsi="Times New Roman" w:cs="Times New Roman"/>
                <w:sz w:val="16"/>
                <w:szCs w:val="16"/>
              </w:rPr>
              <w:t xml:space="preserve">zna najważniejsze </w:t>
            </w:r>
            <w:r w:rsidR="00756280" w:rsidRPr="00B550E4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togeny i </w:t>
            </w:r>
            <w:proofErr w:type="gramStart"/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szkodniki </w:t>
            </w:r>
            <w:r w:rsidR="00E715D6">
              <w:rPr>
                <w:rFonts w:ascii="Times New Roman" w:hAnsi="Times New Roman" w:cs="Times New Roman"/>
                <w:sz w:val="16"/>
                <w:szCs w:val="16"/>
              </w:rPr>
              <w:t xml:space="preserve"> atakujące</w:t>
            </w:r>
            <w:proofErr w:type="gramEnd"/>
            <w:r w:rsidR="0013339F">
              <w:rPr>
                <w:rFonts w:ascii="Times New Roman" w:hAnsi="Times New Roman" w:cs="Times New Roman"/>
                <w:sz w:val="16"/>
                <w:szCs w:val="16"/>
              </w:rPr>
              <w:t xml:space="preserve"> uprawy </w:t>
            </w:r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wybranych </w:t>
            </w:r>
            <w:r w:rsidR="00756280" w:rsidRPr="00B550E4">
              <w:rPr>
                <w:rFonts w:ascii="Times New Roman" w:hAnsi="Times New Roman" w:cs="Times New Roman"/>
                <w:sz w:val="16"/>
                <w:szCs w:val="16"/>
              </w:rPr>
              <w:t>oślin energetycznych</w:t>
            </w:r>
          </w:p>
          <w:p w:rsidR="0078096A" w:rsidRPr="00B550E4" w:rsidRDefault="001A40C5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="00E715D6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proofErr w:type="gramStart"/>
            <w:r w:rsidR="00E715D6"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r w:rsidR="002D618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 integrowanej</w:t>
            </w:r>
            <w:proofErr w:type="gramEnd"/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ochrony upraw roślin energetycznych przed </w:t>
            </w:r>
            <w:proofErr w:type="spellStart"/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>agrofagami</w:t>
            </w:r>
            <w:proofErr w:type="spellEnd"/>
          </w:p>
          <w:p w:rsidR="00DB2995" w:rsidRPr="00B550E4" w:rsidRDefault="00DB2995" w:rsidP="007562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B2995" w:rsidRPr="00B550E4" w:rsidRDefault="001A40C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="00583463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</w:t>
            </w:r>
            <w:proofErr w:type="gramStart"/>
            <w:r w:rsidR="00583463">
              <w:rPr>
                <w:rFonts w:ascii="Times New Roman" w:hAnsi="Times New Roman" w:cs="Times New Roman"/>
                <w:sz w:val="16"/>
                <w:szCs w:val="16"/>
              </w:rPr>
              <w:t>objawy  uszkodzeń</w:t>
            </w:r>
            <w:proofErr w:type="gramEnd"/>
            <w:r w:rsidR="00583463">
              <w:rPr>
                <w:rFonts w:ascii="Times New Roman" w:hAnsi="Times New Roman" w:cs="Times New Roman"/>
                <w:sz w:val="16"/>
                <w:szCs w:val="16"/>
              </w:rPr>
              <w:t xml:space="preserve"> wybranych roślin energetycznych spowodowanych zaatakowaniem ich  przez najważniejsze patogeny i szkodniki </w:t>
            </w:r>
          </w:p>
          <w:p w:rsidR="00DB2995" w:rsidRPr="00B550E4" w:rsidRDefault="001A40C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potrafi zidentyfikować najważniejsze </w:t>
            </w:r>
            <w:proofErr w:type="gramStart"/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szkodniki </w:t>
            </w:r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proofErr w:type="gramEnd"/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096A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patogeny </w:t>
            </w:r>
            <w:r w:rsidR="002D6188">
              <w:rPr>
                <w:rFonts w:ascii="Times New Roman" w:hAnsi="Times New Roman" w:cs="Times New Roman"/>
                <w:sz w:val="16"/>
                <w:szCs w:val="16"/>
              </w:rPr>
              <w:t xml:space="preserve">tych upraw </w:t>
            </w:r>
          </w:p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78096A" w:rsidRPr="00B550E4" w:rsidRDefault="001A40C5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K_01 - </w:t>
            </w:r>
            <w:r w:rsidR="00226FDF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583463">
              <w:rPr>
                <w:rFonts w:ascii="Times New Roman" w:hAnsi="Times New Roman" w:cs="Times New Roman"/>
                <w:sz w:val="16"/>
                <w:szCs w:val="16"/>
              </w:rPr>
              <w:t xml:space="preserve"> wykonania lustracji plantacji wybranych roślin energetycznych i oceny stopnia zagrożenia przez patogeny i szkodniki </w:t>
            </w:r>
          </w:p>
          <w:p w:rsidR="00DB2995" w:rsidRPr="00B550E4" w:rsidRDefault="00DB2995" w:rsidP="0078096A">
            <w:pPr>
              <w:pStyle w:val="HTML-wstpniesformatowan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463" w:rsidRPr="00B550E4" w:rsidTr="008665D1">
        <w:trPr>
          <w:trHeight w:val="57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DB2995" w:rsidRPr="00B550E4" w:rsidRDefault="001A40C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FB6EFA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U_01, U_02, K_01 - </w:t>
            </w:r>
            <w:r w:rsidR="00DB2995" w:rsidRPr="00B550E4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583463" w:rsidRPr="00B550E4" w:rsidTr="008665D1">
        <w:trPr>
          <w:trHeight w:val="50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0" w:type="auto"/>
            <w:gridSpan w:val="9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583463" w:rsidRPr="00B550E4" w:rsidTr="008665D1">
        <w:trPr>
          <w:trHeight w:val="42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Elementy i wagi mające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wpływna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0" w:type="auto"/>
            <w:gridSpan w:val="9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100% - wykład</w:t>
            </w:r>
          </w:p>
        </w:tc>
      </w:tr>
      <w:tr w:rsidR="00583463" w:rsidRPr="00B550E4" w:rsidTr="008665D1">
        <w:trPr>
          <w:trHeight w:val="340"/>
        </w:trPr>
        <w:tc>
          <w:tcPr>
            <w:tcW w:w="0" w:type="auto"/>
            <w:gridSpan w:val="2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DB2995" w:rsidRPr="00B550E4" w:rsidRDefault="00DB2995" w:rsidP="00DB29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dydaktyczna </w:t>
            </w:r>
          </w:p>
        </w:tc>
      </w:tr>
      <w:tr w:rsidR="00DB2995" w:rsidRPr="00B550E4" w:rsidTr="008665D1">
        <w:trPr>
          <w:trHeight w:val="738"/>
        </w:trPr>
        <w:tc>
          <w:tcPr>
            <w:tcW w:w="0" w:type="auto"/>
            <w:gridSpan w:val="11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04168" w:rsidRPr="00B550E4" w:rsidRDefault="00104168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1.Boczek J. 2001. Nauka o szkodnikach roślin uprawnych. Wydanie IV, Wydawnictwo SGGW, Warszawa </w:t>
            </w:r>
          </w:p>
          <w:p w:rsidR="00104168" w:rsidRPr="00B550E4" w:rsidRDefault="00104168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2. Boczek J. 1992.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 </w:t>
            </w:r>
          </w:p>
          <w:p w:rsidR="00104168" w:rsidRPr="00B550E4" w:rsidRDefault="00104168" w:rsidP="00B550E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S., Weber Z.(</w:t>
            </w: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.) 2011.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Fitopatologia.Tom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  <w:p w:rsidR="00104168" w:rsidRPr="00B550E4" w:rsidRDefault="00104168" w:rsidP="00B550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4. Lipa J., Zych A.(</w:t>
            </w: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.) 1994. Kwarantannowe </w:t>
            </w:r>
            <w:proofErr w:type="spell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Agrofagi</w:t>
            </w:r>
            <w:proofErr w:type="spell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Europy. Inspektorat Kwarantanny Roślin, Warszawa</w:t>
            </w:r>
          </w:p>
          <w:p w:rsidR="00DB2995" w:rsidRPr="00B550E4" w:rsidRDefault="00DB2995" w:rsidP="00104168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995" w:rsidRPr="00B550E4" w:rsidTr="008665D1">
        <w:trPr>
          <w:trHeight w:val="340"/>
        </w:trPr>
        <w:tc>
          <w:tcPr>
            <w:tcW w:w="0" w:type="auto"/>
            <w:gridSpan w:val="11"/>
            <w:vAlign w:val="center"/>
          </w:tcPr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DB2995" w:rsidRPr="00B550E4" w:rsidRDefault="00DB2995" w:rsidP="00DB29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 (konsultacje, egzamin</w:t>
            </w:r>
            <w:r w:rsidR="00CD55E2">
              <w:rPr>
                <w:rFonts w:ascii="Times New Roman" w:hAnsi="Times New Roman" w:cs="Times New Roman"/>
                <w:sz w:val="16"/>
                <w:szCs w:val="16"/>
              </w:rPr>
              <w:t xml:space="preserve">y............), </w:t>
            </w:r>
            <w:proofErr w:type="gramStart"/>
            <w:r w:rsidR="00CD55E2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gramEnd"/>
            <w:r w:rsidR="00CD55E2">
              <w:rPr>
                <w:rFonts w:ascii="Times New Roman" w:hAnsi="Times New Roman" w:cs="Times New Roman"/>
                <w:sz w:val="16"/>
                <w:szCs w:val="16"/>
              </w:rPr>
              <w:t xml:space="preserve"> godzin: 10</w:t>
            </w:r>
          </w:p>
        </w:tc>
      </w:tr>
    </w:tbl>
    <w:p w:rsidR="00B550E4" w:rsidRPr="00B550E4" w:rsidRDefault="00B550E4" w:rsidP="00ED11F9">
      <w:pPr>
        <w:rPr>
          <w:rFonts w:ascii="Times New Roman" w:hAnsi="Times New Roman" w:cs="Times New Roman"/>
          <w:sz w:val="16"/>
          <w:szCs w:val="16"/>
        </w:rPr>
      </w:pPr>
    </w:p>
    <w:p w:rsidR="00B550E4" w:rsidRPr="00B550E4" w:rsidRDefault="00B550E4" w:rsidP="00ED11F9">
      <w:pPr>
        <w:rPr>
          <w:rFonts w:ascii="Times New Roman" w:hAnsi="Times New Roman" w:cs="Times New Roman"/>
          <w:sz w:val="16"/>
          <w:szCs w:val="16"/>
        </w:rPr>
      </w:pPr>
    </w:p>
    <w:p w:rsidR="00B550E4" w:rsidRDefault="00B550E4" w:rsidP="00ED11F9">
      <w:pPr>
        <w:rPr>
          <w:rFonts w:ascii="Times New Roman" w:hAnsi="Times New Roman" w:cs="Times New Roman"/>
          <w:sz w:val="16"/>
          <w:szCs w:val="16"/>
        </w:rPr>
      </w:pPr>
    </w:p>
    <w:p w:rsidR="00226FDF" w:rsidRPr="00B550E4" w:rsidRDefault="00226FDF" w:rsidP="00ED11F9">
      <w:pPr>
        <w:rPr>
          <w:rFonts w:ascii="Times New Roman" w:hAnsi="Times New Roman" w:cs="Times New Roman"/>
          <w:sz w:val="16"/>
          <w:szCs w:val="16"/>
        </w:rPr>
      </w:pPr>
    </w:p>
    <w:p w:rsidR="00B550E4" w:rsidRPr="00B550E4" w:rsidRDefault="00B550E4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B550E4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B550E4">
        <w:rPr>
          <w:rFonts w:ascii="Times New Roman" w:hAnsi="Times New Roman" w:cs="Times New Roman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B550E4" w:rsidTr="006478A0">
        <w:trPr>
          <w:trHeight w:val="536"/>
        </w:trPr>
        <w:tc>
          <w:tcPr>
            <w:tcW w:w="9070" w:type="dxa"/>
            <w:vAlign w:val="center"/>
          </w:tcPr>
          <w:p w:rsidR="00ED11F9" w:rsidRPr="00B550E4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550E4" w:rsidRDefault="00185C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</w:p>
        </w:tc>
      </w:tr>
      <w:tr w:rsidR="00ED11F9" w:rsidRPr="00B550E4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550E4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550E4" w:rsidRDefault="00CD55E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1,6</w:t>
            </w:r>
            <w:r w:rsidR="00ED11F9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Pr="00B550E4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226FDF" w:rsidRDefault="00226FDF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B550E4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B550E4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B550E4">
        <w:rPr>
          <w:rFonts w:ascii="Times New Roman" w:hAnsi="Times New Roman" w:cs="Times New Roman"/>
          <w:sz w:val="16"/>
          <w:szCs w:val="16"/>
        </w:rPr>
        <w:t>uczenia się</w:t>
      </w:r>
      <w:r w:rsidRPr="00B550E4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B550E4" w:rsidTr="000F50B7">
        <w:tc>
          <w:tcPr>
            <w:tcW w:w="1881" w:type="dxa"/>
          </w:tcPr>
          <w:p w:rsidR="0093211F" w:rsidRPr="00B550E4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229" w:type="dxa"/>
          </w:tcPr>
          <w:p w:rsidR="0093211F" w:rsidRPr="00B550E4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B550E4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B550E4" w:rsidRDefault="0093211F" w:rsidP="00F41E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B550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B550E4" w:rsidTr="000F50B7">
        <w:tc>
          <w:tcPr>
            <w:tcW w:w="1881" w:type="dxa"/>
          </w:tcPr>
          <w:p w:rsidR="0093211F" w:rsidRPr="00B550E4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A40C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B550E4" w:rsidRDefault="00E45305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najważniejsze 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togeny 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szkodniki  atakujące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uprawy wybranych 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oślin energetycznych</w:t>
            </w:r>
          </w:p>
        </w:tc>
        <w:tc>
          <w:tcPr>
            <w:tcW w:w="3001" w:type="dxa"/>
          </w:tcPr>
          <w:p w:rsidR="0093211F" w:rsidRPr="00B550E4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B550E4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B550E4" w:rsidTr="000F50B7">
        <w:trPr>
          <w:trHeight w:val="507"/>
        </w:trPr>
        <w:tc>
          <w:tcPr>
            <w:tcW w:w="1881" w:type="dxa"/>
          </w:tcPr>
          <w:p w:rsidR="0093211F" w:rsidRPr="00B550E4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1A40C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0F50B7" w:rsidRDefault="0018452B" w:rsidP="000F50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5305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proofErr w:type="gramStart"/>
            <w:r w:rsidR="00E45305">
              <w:rPr>
                <w:rFonts w:ascii="Times New Roman" w:hAnsi="Times New Roman" w:cs="Times New Roman"/>
                <w:sz w:val="16"/>
                <w:szCs w:val="16"/>
              </w:rPr>
              <w:t>metody</w:t>
            </w:r>
            <w:r w:rsidR="00E45305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 integrowanej</w:t>
            </w:r>
            <w:proofErr w:type="gramEnd"/>
            <w:r w:rsidR="00E45305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 ochrony upraw roślin energetycznych przed </w:t>
            </w:r>
            <w:proofErr w:type="spellStart"/>
            <w:r w:rsidR="00E45305" w:rsidRPr="00B550E4">
              <w:rPr>
                <w:rFonts w:ascii="Times New Roman" w:hAnsi="Times New Roman" w:cs="Times New Roman"/>
                <w:sz w:val="16"/>
                <w:szCs w:val="16"/>
              </w:rPr>
              <w:t>agrofagami</w:t>
            </w:r>
            <w:proofErr w:type="spellEnd"/>
          </w:p>
        </w:tc>
        <w:tc>
          <w:tcPr>
            <w:tcW w:w="3001" w:type="dxa"/>
          </w:tcPr>
          <w:p w:rsidR="0093211F" w:rsidRPr="00B550E4" w:rsidRDefault="003847F2" w:rsidP="0099086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:rsidR="00990865" w:rsidRPr="00B550E4" w:rsidRDefault="00990865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3211F" w:rsidRPr="00B550E4" w:rsidTr="000F50B7">
        <w:tc>
          <w:tcPr>
            <w:tcW w:w="1881" w:type="dxa"/>
          </w:tcPr>
          <w:p w:rsidR="0093211F" w:rsidRPr="00B550E4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A40C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B550E4" w:rsidRDefault="00E45305" w:rsidP="00E453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objawy  uszkodzeń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wybranych roślin energetycznych spowodowanych zaatakowaniem ich  przez najważniejsze patogeny i szkodniki</w:t>
            </w:r>
          </w:p>
        </w:tc>
        <w:tc>
          <w:tcPr>
            <w:tcW w:w="3001" w:type="dxa"/>
          </w:tcPr>
          <w:p w:rsidR="0093211F" w:rsidRPr="00B550E4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B550E4">
              <w:rPr>
                <w:rFonts w:ascii="Times New Roman" w:hAnsi="Times New Roman" w:cs="Times New Roman"/>
                <w:sz w:val="16"/>
                <w:szCs w:val="16"/>
              </w:rPr>
              <w:t>U02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; K_U06 </w:t>
            </w:r>
          </w:p>
        </w:tc>
        <w:tc>
          <w:tcPr>
            <w:tcW w:w="1381" w:type="dxa"/>
          </w:tcPr>
          <w:p w:rsidR="0093211F" w:rsidRPr="00B550E4" w:rsidRDefault="00CE0483" w:rsidP="00CE04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A5B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834A5B" w:rsidRPr="00B550E4" w:rsidTr="000F50B7">
        <w:trPr>
          <w:trHeight w:val="515"/>
        </w:trPr>
        <w:tc>
          <w:tcPr>
            <w:tcW w:w="1881" w:type="dxa"/>
          </w:tcPr>
          <w:p w:rsidR="00834A5B" w:rsidRPr="00B550E4" w:rsidRDefault="00834A5B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1A40C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13"/>
            </w:tblGrid>
            <w:tr w:rsidR="00575621" w:rsidRPr="00B550E4" w:rsidTr="00226FDF">
              <w:trPr>
                <w:trHeight w:val="166"/>
              </w:trPr>
              <w:tc>
                <w:tcPr>
                  <w:tcW w:w="4347" w:type="dxa"/>
                </w:tcPr>
                <w:p w:rsidR="00575621" w:rsidRPr="00E45305" w:rsidRDefault="00E45305" w:rsidP="00E45305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50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potrafi zidentyfikować najważniejsze </w:t>
                  </w:r>
                  <w:proofErr w:type="gramStart"/>
                  <w:r w:rsidRPr="00B550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szkodniki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550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patogeny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tych upraw </w:t>
                  </w:r>
                </w:p>
              </w:tc>
            </w:tr>
          </w:tbl>
          <w:p w:rsidR="00834A5B" w:rsidRPr="00B550E4" w:rsidRDefault="00834A5B" w:rsidP="00185C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834A5B" w:rsidRPr="00B550E4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834A5B" w:rsidRPr="00B550E4">
              <w:rPr>
                <w:rFonts w:ascii="Times New Roman" w:hAnsi="Times New Roman" w:cs="Times New Roman"/>
                <w:sz w:val="16"/>
                <w:szCs w:val="16"/>
              </w:rPr>
              <w:t xml:space="preserve">U01; </w:t>
            </w: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K_U02; K_U06</w:t>
            </w:r>
          </w:p>
        </w:tc>
        <w:tc>
          <w:tcPr>
            <w:tcW w:w="1381" w:type="dxa"/>
          </w:tcPr>
          <w:p w:rsidR="00834A5B" w:rsidRPr="00B550E4" w:rsidRDefault="00CE0483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2; 2; 1</w:t>
            </w:r>
          </w:p>
        </w:tc>
      </w:tr>
      <w:tr w:rsidR="0093211F" w:rsidRPr="00B550E4" w:rsidTr="000F50B7">
        <w:tc>
          <w:tcPr>
            <w:tcW w:w="1881" w:type="dxa"/>
          </w:tcPr>
          <w:p w:rsidR="0093211F" w:rsidRPr="00B550E4" w:rsidRDefault="0093211F" w:rsidP="00F41ECA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A40C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B550E4" w:rsidRDefault="00E45305" w:rsidP="00575621">
            <w:pPr>
              <w:pStyle w:val="HTML-wstpniesformatowany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  wykonania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lustracji plantacji wybranych roślin energetycznych i oceny stopnia zagrożenia przez patogeny i szkodniki</w:t>
            </w:r>
          </w:p>
        </w:tc>
        <w:tc>
          <w:tcPr>
            <w:tcW w:w="3001" w:type="dxa"/>
          </w:tcPr>
          <w:p w:rsidR="0093211F" w:rsidRPr="00B550E4" w:rsidRDefault="006E2442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3847F2" w:rsidRPr="00B550E4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B550E4" w:rsidRDefault="005978F9" w:rsidP="00F41E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0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13" w:rsidRDefault="00AE0C13" w:rsidP="002C0CA5">
      <w:pPr>
        <w:spacing w:line="240" w:lineRule="auto"/>
      </w:pPr>
      <w:r>
        <w:separator/>
      </w:r>
    </w:p>
  </w:endnote>
  <w:endnote w:type="continuationSeparator" w:id="0">
    <w:p w:rsidR="00AE0C13" w:rsidRDefault="00AE0C1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13" w:rsidRDefault="00AE0C13" w:rsidP="002C0CA5">
      <w:pPr>
        <w:spacing w:line="240" w:lineRule="auto"/>
      </w:pPr>
      <w:r>
        <w:separator/>
      </w:r>
    </w:p>
  </w:footnote>
  <w:footnote w:type="continuationSeparator" w:id="0">
    <w:p w:rsidR="00AE0C13" w:rsidRDefault="00AE0C1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9B8"/>
    <w:rsid w:val="00012C4C"/>
    <w:rsid w:val="00021A86"/>
    <w:rsid w:val="0002476E"/>
    <w:rsid w:val="0002788D"/>
    <w:rsid w:val="00027D4B"/>
    <w:rsid w:val="00031015"/>
    <w:rsid w:val="00061737"/>
    <w:rsid w:val="0006204C"/>
    <w:rsid w:val="00063766"/>
    <w:rsid w:val="00070EF4"/>
    <w:rsid w:val="00075899"/>
    <w:rsid w:val="000834BC"/>
    <w:rsid w:val="00086FD6"/>
    <w:rsid w:val="000C4232"/>
    <w:rsid w:val="000C6A6E"/>
    <w:rsid w:val="000F320B"/>
    <w:rsid w:val="000F50B7"/>
    <w:rsid w:val="0010373A"/>
    <w:rsid w:val="00104168"/>
    <w:rsid w:val="00105C4D"/>
    <w:rsid w:val="001061E6"/>
    <w:rsid w:val="0011099F"/>
    <w:rsid w:val="0012460E"/>
    <w:rsid w:val="00125A97"/>
    <w:rsid w:val="0013339F"/>
    <w:rsid w:val="0013448D"/>
    <w:rsid w:val="0017737E"/>
    <w:rsid w:val="0018452B"/>
    <w:rsid w:val="00185CC6"/>
    <w:rsid w:val="001A40C5"/>
    <w:rsid w:val="001D25D5"/>
    <w:rsid w:val="001E17B2"/>
    <w:rsid w:val="001F190C"/>
    <w:rsid w:val="00207BBF"/>
    <w:rsid w:val="00226FDF"/>
    <w:rsid w:val="00251EB1"/>
    <w:rsid w:val="00260D78"/>
    <w:rsid w:val="00266255"/>
    <w:rsid w:val="002972B5"/>
    <w:rsid w:val="002A0EB4"/>
    <w:rsid w:val="002A12EA"/>
    <w:rsid w:val="002B708B"/>
    <w:rsid w:val="002C0CA5"/>
    <w:rsid w:val="002C2CD1"/>
    <w:rsid w:val="002C603A"/>
    <w:rsid w:val="002D6188"/>
    <w:rsid w:val="002E0E2B"/>
    <w:rsid w:val="002E58D4"/>
    <w:rsid w:val="00301519"/>
    <w:rsid w:val="00313113"/>
    <w:rsid w:val="00326357"/>
    <w:rsid w:val="00336F22"/>
    <w:rsid w:val="00341D25"/>
    <w:rsid w:val="00344F0E"/>
    <w:rsid w:val="0036131B"/>
    <w:rsid w:val="00364BB0"/>
    <w:rsid w:val="00383BDD"/>
    <w:rsid w:val="003847F2"/>
    <w:rsid w:val="0039119B"/>
    <w:rsid w:val="003A05A9"/>
    <w:rsid w:val="003A0AA2"/>
    <w:rsid w:val="003A7987"/>
    <w:rsid w:val="003B680D"/>
    <w:rsid w:val="003B721D"/>
    <w:rsid w:val="003C0BE4"/>
    <w:rsid w:val="003C2A8B"/>
    <w:rsid w:val="00405C8A"/>
    <w:rsid w:val="00407177"/>
    <w:rsid w:val="00452A21"/>
    <w:rsid w:val="00456A7D"/>
    <w:rsid w:val="004938F1"/>
    <w:rsid w:val="004B7E16"/>
    <w:rsid w:val="004C4A26"/>
    <w:rsid w:val="004D0D2E"/>
    <w:rsid w:val="004D7A14"/>
    <w:rsid w:val="004D7D4F"/>
    <w:rsid w:val="004F2A55"/>
    <w:rsid w:val="004F5168"/>
    <w:rsid w:val="005031F1"/>
    <w:rsid w:val="00506C21"/>
    <w:rsid w:val="0051363E"/>
    <w:rsid w:val="00561A9C"/>
    <w:rsid w:val="0056214B"/>
    <w:rsid w:val="00575621"/>
    <w:rsid w:val="00583463"/>
    <w:rsid w:val="005978F9"/>
    <w:rsid w:val="005A1E0C"/>
    <w:rsid w:val="005A59AF"/>
    <w:rsid w:val="005B6C48"/>
    <w:rsid w:val="005D3C53"/>
    <w:rsid w:val="005D43DA"/>
    <w:rsid w:val="00617557"/>
    <w:rsid w:val="00655CB7"/>
    <w:rsid w:val="006674DC"/>
    <w:rsid w:val="006C766B"/>
    <w:rsid w:val="006E2442"/>
    <w:rsid w:val="0072568B"/>
    <w:rsid w:val="00735F91"/>
    <w:rsid w:val="007438D8"/>
    <w:rsid w:val="007540BE"/>
    <w:rsid w:val="00756280"/>
    <w:rsid w:val="00757FBD"/>
    <w:rsid w:val="0078096A"/>
    <w:rsid w:val="007841EB"/>
    <w:rsid w:val="00795E1E"/>
    <w:rsid w:val="007C6297"/>
    <w:rsid w:val="007D292E"/>
    <w:rsid w:val="007D736E"/>
    <w:rsid w:val="00816865"/>
    <w:rsid w:val="00834A5B"/>
    <w:rsid w:val="00846035"/>
    <w:rsid w:val="00860FAB"/>
    <w:rsid w:val="008665D1"/>
    <w:rsid w:val="00893314"/>
    <w:rsid w:val="008C5679"/>
    <w:rsid w:val="008F7502"/>
    <w:rsid w:val="008F7758"/>
    <w:rsid w:val="008F7E6F"/>
    <w:rsid w:val="00925376"/>
    <w:rsid w:val="0093211F"/>
    <w:rsid w:val="00934F3F"/>
    <w:rsid w:val="009352EE"/>
    <w:rsid w:val="00952693"/>
    <w:rsid w:val="00965A2D"/>
    <w:rsid w:val="00966E0B"/>
    <w:rsid w:val="0099069F"/>
    <w:rsid w:val="00990865"/>
    <w:rsid w:val="009A022F"/>
    <w:rsid w:val="009B01CF"/>
    <w:rsid w:val="009B0A51"/>
    <w:rsid w:val="009B21A4"/>
    <w:rsid w:val="009B2B08"/>
    <w:rsid w:val="009B36F9"/>
    <w:rsid w:val="009D2DF1"/>
    <w:rsid w:val="009E71F1"/>
    <w:rsid w:val="00A43564"/>
    <w:rsid w:val="00AA014E"/>
    <w:rsid w:val="00AB4301"/>
    <w:rsid w:val="00AD3416"/>
    <w:rsid w:val="00AE0C13"/>
    <w:rsid w:val="00AE31C9"/>
    <w:rsid w:val="00B206A9"/>
    <w:rsid w:val="00B214A1"/>
    <w:rsid w:val="00B2721F"/>
    <w:rsid w:val="00B5249C"/>
    <w:rsid w:val="00B550E4"/>
    <w:rsid w:val="00B75FFF"/>
    <w:rsid w:val="00B8479E"/>
    <w:rsid w:val="00BC44B2"/>
    <w:rsid w:val="00BE51A1"/>
    <w:rsid w:val="00BF7AA9"/>
    <w:rsid w:val="00C01C21"/>
    <w:rsid w:val="00C323A7"/>
    <w:rsid w:val="00C43851"/>
    <w:rsid w:val="00C64626"/>
    <w:rsid w:val="00C67B99"/>
    <w:rsid w:val="00CD0414"/>
    <w:rsid w:val="00CD55E2"/>
    <w:rsid w:val="00CD6503"/>
    <w:rsid w:val="00CE0483"/>
    <w:rsid w:val="00CE0F3B"/>
    <w:rsid w:val="00CF75F1"/>
    <w:rsid w:val="00D1588E"/>
    <w:rsid w:val="00D471BC"/>
    <w:rsid w:val="00D809CC"/>
    <w:rsid w:val="00D844FC"/>
    <w:rsid w:val="00DA429A"/>
    <w:rsid w:val="00DA64C8"/>
    <w:rsid w:val="00DA75C1"/>
    <w:rsid w:val="00DB2995"/>
    <w:rsid w:val="00E122C3"/>
    <w:rsid w:val="00E45305"/>
    <w:rsid w:val="00E62452"/>
    <w:rsid w:val="00E715D6"/>
    <w:rsid w:val="00E80176"/>
    <w:rsid w:val="00EB1662"/>
    <w:rsid w:val="00EB7B89"/>
    <w:rsid w:val="00ED11F9"/>
    <w:rsid w:val="00EE4F54"/>
    <w:rsid w:val="00EE5AD8"/>
    <w:rsid w:val="00EE71ED"/>
    <w:rsid w:val="00F17173"/>
    <w:rsid w:val="00F24942"/>
    <w:rsid w:val="00F41ECA"/>
    <w:rsid w:val="00F50405"/>
    <w:rsid w:val="00F77B20"/>
    <w:rsid w:val="00FB2DB7"/>
    <w:rsid w:val="00FB6EFA"/>
    <w:rsid w:val="00FC17D6"/>
    <w:rsid w:val="00FC26D6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D7D4F"/>
    <w:pPr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795E1E"/>
    <w:pPr>
      <w:spacing w:line="240" w:lineRule="auto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5E1E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qFormat/>
    <w:rsid w:val="00795E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rsid w:val="00CD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D6503"/>
    <w:rPr>
      <w:rFonts w:ascii="Courier New" w:eastAsia="Courier New" w:hAnsi="Courier New" w:cs="Courier New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03"/>
    <w:rPr>
      <w:sz w:val="16"/>
      <w:szCs w:val="16"/>
    </w:rPr>
  </w:style>
  <w:style w:type="paragraph" w:customStyle="1" w:styleId="Plan1">
    <w:name w:val="Plan1"/>
    <w:basedOn w:val="Normalny"/>
    <w:rsid w:val="00DB299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16</cp:revision>
  <cp:lastPrinted>2019-04-23T10:47:00Z</cp:lastPrinted>
  <dcterms:created xsi:type="dcterms:W3CDTF">2019-04-23T12:44:00Z</dcterms:created>
  <dcterms:modified xsi:type="dcterms:W3CDTF">2019-05-23T10:44:00Z</dcterms:modified>
</cp:coreProperties>
</file>