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30" w:tblpY="128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468"/>
      </w:tblGrid>
      <w:tr w:rsidR="00CD0414" w:rsidTr="007C06C6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06FEE" w:rsidRDefault="00560F9A" w:rsidP="00C6441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Ćwiczenia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specjalistyczne</w:t>
            </w:r>
            <w:proofErr w:type="spellEnd"/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560F9A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87504" w:rsidRPr="00FA40D6" w:rsidTr="007C06C6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311BDD" w:rsidRDefault="00560F9A" w:rsidP="00C644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11BD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Special training in plant protection</w:t>
            </w:r>
          </w:p>
        </w:tc>
      </w:tr>
      <w:tr w:rsidR="00C87504" w:rsidTr="007C06C6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FA40D6" w:rsidP="00C644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Ochrona zdrowia r</w:t>
            </w:r>
            <w:r w:rsidR="00490C1C">
              <w:rPr>
                <w:rFonts w:ascii="Times New Roman" w:hAnsi="Times New Roman" w:cs="Times New Roman"/>
                <w:sz w:val="20"/>
                <w:szCs w:val="20"/>
              </w:rPr>
              <w:t>oślin</w:t>
            </w:r>
          </w:p>
        </w:tc>
      </w:tr>
      <w:tr w:rsidR="00C87504" w:rsidTr="007C06C6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7C06C6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9D5A4F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9D5A4F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87504" w:rsidTr="007C06C6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D275FF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D275FF" w:rsidP="00C64416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C64416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560F9A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9D5A4F">
              <w:rPr>
                <w:sz w:val="20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obowiązkowe </w:t>
            </w:r>
          </w:p>
          <w:p w:rsidR="00C87504" w:rsidRPr="00207BBF" w:rsidRDefault="00560F9A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9D5A4F">
              <w:rPr>
                <w:sz w:val="20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865FF1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560F9A">
              <w:rPr>
                <w:bCs/>
                <w:sz w:val="16"/>
                <w:szCs w:val="16"/>
              </w:rPr>
              <w:t xml:space="preserve"> 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560F9A" w:rsidP="00560F9A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9D5A4F">
              <w:rPr>
                <w:sz w:val="20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>
              <w:rPr>
                <w:sz w:val="20"/>
                <w:szCs w:val="16"/>
              </w:rPr>
              <w:sym w:font="Wingdings" w:char="F078"/>
            </w:r>
            <w:r w:rsidR="009D5A4F">
              <w:rPr>
                <w:sz w:val="20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7C06C6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7C06C6">
            <w:pPr>
              <w:spacing w:line="240" w:lineRule="auto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490C1C" w:rsidP="00560F9A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</w:t>
            </w:r>
            <w:r w:rsidR="00C76FB0">
              <w:rPr>
                <w:b/>
                <w:sz w:val="16"/>
                <w:szCs w:val="16"/>
              </w:rPr>
              <w:t>GR_OR1-S-</w:t>
            </w:r>
            <w:r w:rsidR="00560F9A">
              <w:rPr>
                <w:b/>
                <w:sz w:val="16"/>
                <w:szCs w:val="16"/>
              </w:rPr>
              <w:t>4L4</w:t>
            </w:r>
            <w:r w:rsidR="00C76FB0">
              <w:rPr>
                <w:b/>
                <w:sz w:val="16"/>
                <w:szCs w:val="16"/>
              </w:rPr>
              <w:t xml:space="preserve">4 </w:t>
            </w:r>
          </w:p>
        </w:tc>
      </w:tr>
      <w:tr w:rsidR="00C87504" w:rsidRPr="00CD0414" w:rsidTr="007C06C6">
        <w:trPr>
          <w:trHeight w:val="227"/>
        </w:trPr>
        <w:tc>
          <w:tcPr>
            <w:tcW w:w="104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7C06C6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E963A0" w:rsidRDefault="00BD340D" w:rsidP="00311BD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63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Prof. dr hab. </w:t>
            </w:r>
            <w:r w:rsidR="00311BDD">
              <w:rPr>
                <w:rFonts w:ascii="Times New Roman" w:hAnsi="Times New Roman" w:cs="Times New Roman"/>
                <w:bCs/>
                <w:sz w:val="16"/>
                <w:szCs w:val="16"/>
              </w:rPr>
              <w:t>Małgorzata Kiełkiewicz-Szaniawska</w:t>
            </w:r>
          </w:p>
        </w:tc>
      </w:tr>
      <w:tr w:rsidR="00C87504" w:rsidTr="007C06C6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C72F7" w:rsidRDefault="007656B9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C72F7"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="00E963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racownicy </w:t>
            </w:r>
            <w:r w:rsidR="00FA40D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E963A0">
              <w:rPr>
                <w:rFonts w:ascii="Times New Roman" w:hAnsi="Times New Roman" w:cs="Times New Roman"/>
                <w:bCs/>
                <w:sz w:val="16"/>
                <w:szCs w:val="16"/>
              </w:rPr>
              <w:t>SZES, SZF, SZPPO</w:t>
            </w:r>
          </w:p>
        </w:tc>
      </w:tr>
      <w:tr w:rsidR="00C87504" w:rsidTr="007C06C6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C72F7" w:rsidRDefault="00BD340D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C72F7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Ogrodnictwa, Biotechnologii</w:t>
            </w:r>
            <w:r w:rsidR="006A6E5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Architektury Krajobrazu</w:t>
            </w:r>
          </w:p>
        </w:tc>
      </w:tr>
      <w:tr w:rsidR="00C87504" w:rsidTr="007C06C6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C72F7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C72F7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 Biotechnologii i Architektury Krajobrazu</w:t>
            </w:r>
          </w:p>
        </w:tc>
      </w:tr>
      <w:tr w:rsidR="00C87504" w:rsidTr="007C06C6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316E" w:rsidRPr="007C72F7" w:rsidRDefault="007656B9" w:rsidP="009556F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C72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Założenia i cele</w:t>
            </w:r>
            <w:r w:rsidRPr="007C72F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</w:t>
            </w:r>
            <w:r w:rsidR="00560F9A" w:rsidRPr="00560F9A">
              <w:rPr>
                <w:rFonts w:ascii="Times New Roman" w:hAnsi="Times New Roman" w:cs="Times New Roman"/>
                <w:sz w:val="16"/>
                <w:szCs w:val="16"/>
              </w:rPr>
              <w:t xml:space="preserve">Zapoznanie studentów z tematyką badań prowadzonych w </w:t>
            </w:r>
            <w:r w:rsidR="00C92FC1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="00560F9A" w:rsidRPr="00560F9A">
              <w:rPr>
                <w:rFonts w:ascii="Times New Roman" w:hAnsi="Times New Roman" w:cs="Times New Roman"/>
                <w:sz w:val="16"/>
                <w:szCs w:val="16"/>
              </w:rPr>
              <w:t xml:space="preserve">zespołach badawczych z zakresu ochrony roślin i produktów spożywczych z nich uzyskiwanych. Praktyczne przedstawienie </w:t>
            </w:r>
            <w:proofErr w:type="spellStart"/>
            <w:r w:rsidR="00560F9A" w:rsidRPr="00560F9A">
              <w:rPr>
                <w:rFonts w:ascii="Times New Roman" w:hAnsi="Times New Roman" w:cs="Times New Roman"/>
                <w:sz w:val="16"/>
                <w:szCs w:val="16"/>
              </w:rPr>
              <w:t>niechemicznych</w:t>
            </w:r>
            <w:proofErr w:type="spellEnd"/>
            <w:r w:rsidR="00560F9A" w:rsidRPr="00560F9A">
              <w:rPr>
                <w:rFonts w:ascii="Times New Roman" w:hAnsi="Times New Roman" w:cs="Times New Roman"/>
                <w:sz w:val="16"/>
                <w:szCs w:val="16"/>
              </w:rPr>
              <w:t xml:space="preserve"> metod zwalczania organizmów szkodliwych. Zapoznanie studentów z tematyką badań z zakresu odporności roślin: na szkodniki, chwastów na herbicydy oraz identyfikacją patogenów.</w:t>
            </w:r>
            <w:r w:rsidR="00560F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B445C" w:rsidRPr="007C72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Tematyka</w:t>
            </w:r>
            <w:r w:rsidR="00C92F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ćwiczeń</w:t>
            </w:r>
            <w:r w:rsidR="00A31340" w:rsidRPr="00C92F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="00C92FC1" w:rsidRPr="00C92FC1">
              <w:rPr>
                <w:rFonts w:ascii="Times New Roman" w:hAnsi="Times New Roman" w:cs="Times New Roman"/>
                <w:sz w:val="16"/>
                <w:szCs w:val="16"/>
              </w:rPr>
              <w:t>(1)</w:t>
            </w:r>
            <w:r w:rsidR="00C92FC1" w:rsidRPr="00C92FC1">
              <w:t xml:space="preserve"> </w:t>
            </w:r>
            <w:r w:rsidR="00C92FC1" w:rsidRPr="00C92FC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560F9A" w:rsidRPr="00C92FC1">
              <w:rPr>
                <w:rFonts w:ascii="Times New Roman" w:hAnsi="Times New Roman" w:cs="Times New Roman"/>
                <w:bCs/>
                <w:sz w:val="16"/>
                <w:szCs w:val="16"/>
              </w:rPr>
              <w:t>tudenc</w:t>
            </w:r>
            <w:r w:rsidR="00C92FC1" w:rsidRPr="00C92FC1">
              <w:rPr>
                <w:rFonts w:ascii="Times New Roman" w:hAnsi="Times New Roman" w:cs="Times New Roman"/>
                <w:bCs/>
                <w:sz w:val="16"/>
                <w:szCs w:val="16"/>
              </w:rPr>
              <w:t>i zapoznają się z badaniami nad</w:t>
            </w:r>
            <w:r w:rsidR="00560F9A" w:rsidRPr="00C92FC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odpornością oraz mechanizmami obronnymi roślin na szkodniki, interakcjami roślina-szkodnik-entomofag, zachowaniem, biologią i ekologią stawonogów, a także </w:t>
            </w:r>
            <w:r w:rsidR="00C92FC1" w:rsidRPr="00C92FC1">
              <w:rPr>
                <w:rFonts w:ascii="Times New Roman" w:hAnsi="Times New Roman" w:cs="Times New Roman"/>
                <w:bCs/>
                <w:sz w:val="16"/>
                <w:szCs w:val="16"/>
              </w:rPr>
              <w:t>z</w:t>
            </w:r>
            <w:r w:rsidR="00560F9A" w:rsidRPr="00C92FC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problemami związanymi z uszkodzeniami produktów spożywczych. </w:t>
            </w:r>
            <w:r w:rsidR="00C92FC1" w:rsidRPr="00C92FC1">
              <w:rPr>
                <w:rFonts w:ascii="Times New Roman" w:hAnsi="Times New Roman" w:cs="Times New Roman"/>
                <w:bCs/>
                <w:sz w:val="16"/>
                <w:szCs w:val="16"/>
              </w:rPr>
              <w:t>(2) S</w:t>
            </w:r>
            <w:r w:rsidR="00560F9A" w:rsidRPr="00C92FC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tudenci zapoznają się z </w:t>
            </w:r>
            <w:r w:rsidR="009556F1">
              <w:rPr>
                <w:rFonts w:ascii="Times New Roman" w:hAnsi="Times New Roman" w:cs="Times New Roman"/>
                <w:bCs/>
                <w:sz w:val="16"/>
                <w:szCs w:val="16"/>
              </w:rPr>
              <w:t>aktualną tematyką badawczą prowadzoną w Samodzielnym Zakładzie Fitopatologii.</w:t>
            </w:r>
            <w:r w:rsidR="00560F9A" w:rsidRPr="00C92FC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C92FC1" w:rsidRPr="00C92FC1">
              <w:rPr>
                <w:rFonts w:ascii="Times New Roman" w:hAnsi="Times New Roman" w:cs="Times New Roman"/>
                <w:bCs/>
                <w:sz w:val="16"/>
                <w:szCs w:val="16"/>
              </w:rPr>
              <w:t>(3) S</w:t>
            </w:r>
            <w:r w:rsidR="00560F9A" w:rsidRPr="00C92FC1">
              <w:rPr>
                <w:rFonts w:ascii="Times New Roman" w:hAnsi="Times New Roman" w:cs="Times New Roman"/>
                <w:bCs/>
                <w:sz w:val="16"/>
                <w:szCs w:val="16"/>
              </w:rPr>
              <w:t>tudenc</w:t>
            </w:r>
            <w:r w:rsidR="00C92FC1" w:rsidRPr="00C92FC1">
              <w:rPr>
                <w:rFonts w:ascii="Times New Roman" w:hAnsi="Times New Roman" w:cs="Times New Roman"/>
                <w:bCs/>
                <w:sz w:val="16"/>
                <w:szCs w:val="16"/>
              </w:rPr>
              <w:t>i zapoznają się z badaniami nad</w:t>
            </w:r>
            <w:r w:rsidR="00560F9A" w:rsidRPr="00C92FC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odpornością chwastów na herbicydy, biologią biotypów chwastów odpornych, stresem abiotycznym u roślin.</w:t>
            </w:r>
          </w:p>
        </w:tc>
      </w:tr>
      <w:tr w:rsidR="00C87504" w:rsidRPr="00E31A6B" w:rsidTr="007A316E">
        <w:trPr>
          <w:trHeight w:val="386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C72F7" w:rsidRDefault="007A316E" w:rsidP="00BD340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C72F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Ćwiczenia </w:t>
            </w:r>
            <w:r w:rsidR="00BD340D" w:rsidRPr="007C72F7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="00560F9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liczba godzin - 45</w:t>
            </w:r>
            <w:r w:rsidR="00BD340D" w:rsidRPr="007C72F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</w:p>
        </w:tc>
      </w:tr>
      <w:tr w:rsidR="00C87504" w:rsidRPr="00E31A6B" w:rsidTr="007A316E">
        <w:trPr>
          <w:trHeight w:val="562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C72F7" w:rsidRDefault="007A316E" w:rsidP="0032392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C72F7">
              <w:rPr>
                <w:rFonts w:ascii="Times New Roman" w:hAnsi="Times New Roman" w:cs="Times New Roman"/>
                <w:sz w:val="16"/>
                <w:szCs w:val="16"/>
              </w:rPr>
              <w:t xml:space="preserve">Wprowadzenie, </w:t>
            </w:r>
            <w:r w:rsidR="00EB445C" w:rsidRPr="007C72F7">
              <w:rPr>
                <w:rFonts w:ascii="Times New Roman" w:hAnsi="Times New Roman" w:cs="Times New Roman"/>
                <w:sz w:val="16"/>
                <w:szCs w:val="16"/>
              </w:rPr>
              <w:t>multimedialna prezentacja ustna studenta</w:t>
            </w:r>
            <w:r w:rsidR="00323923">
              <w:rPr>
                <w:rFonts w:ascii="Times New Roman" w:hAnsi="Times New Roman" w:cs="Times New Roman"/>
                <w:sz w:val="16"/>
                <w:szCs w:val="16"/>
              </w:rPr>
              <w:t xml:space="preserve"> lub</w:t>
            </w:r>
            <w:r w:rsidR="00EB445C" w:rsidRPr="007C72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60F9A">
              <w:rPr>
                <w:rFonts w:ascii="Times New Roman" w:hAnsi="Times New Roman" w:cs="Times New Roman"/>
                <w:sz w:val="16"/>
                <w:szCs w:val="16"/>
              </w:rPr>
              <w:t xml:space="preserve">raport, </w:t>
            </w:r>
            <w:r w:rsidRPr="007C72F7">
              <w:rPr>
                <w:rFonts w:ascii="Times New Roman" w:hAnsi="Times New Roman" w:cs="Times New Roman"/>
                <w:sz w:val="16"/>
                <w:szCs w:val="16"/>
              </w:rPr>
              <w:t>dyskusja</w:t>
            </w:r>
          </w:p>
        </w:tc>
      </w:tr>
      <w:tr w:rsidR="00C87504" w:rsidRPr="00E31A6B" w:rsidTr="007C06C6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C72F7" w:rsidRDefault="00323923" w:rsidP="0032392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Student posiada podstawową wiedzę </w:t>
            </w:r>
            <w:r w:rsidRPr="00323923">
              <w:rPr>
                <w:rFonts w:ascii="Times New Roman" w:hAnsi="Times New Roman" w:cs="Times New Roman"/>
                <w:sz w:val="16"/>
                <w:szCs w:val="16"/>
              </w:rPr>
              <w:t xml:space="preserve">z zakresu entomologii stosowanej, fitopatologii i </w:t>
            </w:r>
            <w:proofErr w:type="spellStart"/>
            <w:r w:rsidRPr="00323923">
              <w:rPr>
                <w:rFonts w:ascii="Times New Roman" w:hAnsi="Times New Roman" w:cs="Times New Roman"/>
                <w:sz w:val="16"/>
                <w:szCs w:val="16"/>
              </w:rPr>
              <w:t>herbologii</w:t>
            </w:r>
            <w:proofErr w:type="spellEnd"/>
          </w:p>
        </w:tc>
      </w:tr>
      <w:tr w:rsidR="00C87504" w:rsidTr="00AC18DC">
        <w:trPr>
          <w:trHeight w:val="2299"/>
        </w:trPr>
        <w:tc>
          <w:tcPr>
            <w:tcW w:w="2480" w:type="dxa"/>
            <w:gridSpan w:val="2"/>
          </w:tcPr>
          <w:p w:rsidR="00C87504" w:rsidRPr="00582090" w:rsidRDefault="00C87504" w:rsidP="00AC18DC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87504" w:rsidRPr="00040F61" w:rsidRDefault="00C87504" w:rsidP="00AC18D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F61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2E6AC0" w:rsidRPr="00040F61" w:rsidRDefault="00040F61" w:rsidP="002E6AC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F61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9D5A4F">
              <w:rPr>
                <w:rFonts w:ascii="Times New Roman" w:hAnsi="Times New Roman" w:cs="Times New Roman"/>
                <w:sz w:val="16"/>
                <w:szCs w:val="16"/>
              </w:rPr>
              <w:t>_01 – z</w:t>
            </w:r>
            <w:r w:rsidR="002E6AC0" w:rsidRPr="00040F61">
              <w:rPr>
                <w:rFonts w:ascii="Times New Roman" w:hAnsi="Times New Roman" w:cs="Times New Roman"/>
                <w:sz w:val="16"/>
                <w:szCs w:val="16"/>
              </w:rPr>
              <w:t>na i rozumie po</w:t>
            </w:r>
            <w:r w:rsidR="00311BDD" w:rsidRPr="00040F61">
              <w:rPr>
                <w:rFonts w:ascii="Times New Roman" w:hAnsi="Times New Roman" w:cs="Times New Roman"/>
                <w:sz w:val="16"/>
                <w:szCs w:val="16"/>
              </w:rPr>
              <w:t xml:space="preserve">dstawowe zagadnienia z zakresu </w:t>
            </w:r>
            <w:r w:rsidR="002E6AC0" w:rsidRPr="00040F61">
              <w:rPr>
                <w:rFonts w:ascii="Times New Roman" w:hAnsi="Times New Roman" w:cs="Times New Roman"/>
                <w:sz w:val="16"/>
                <w:szCs w:val="16"/>
              </w:rPr>
              <w:t>ogrodnictwa, w tym nowoczesne metody i technologie</w:t>
            </w:r>
            <w:r w:rsidR="00C661E9">
              <w:t xml:space="preserve"> </w:t>
            </w:r>
            <w:r w:rsidR="00C661E9" w:rsidRPr="00C661E9">
              <w:rPr>
                <w:rFonts w:ascii="Times New Roman" w:hAnsi="Times New Roman" w:cs="Times New Roman"/>
                <w:sz w:val="16"/>
                <w:szCs w:val="16"/>
              </w:rPr>
              <w:t xml:space="preserve">stosowane w celu zwalczania </w:t>
            </w:r>
            <w:proofErr w:type="spellStart"/>
            <w:r w:rsidR="00C661E9" w:rsidRPr="00C661E9">
              <w:rPr>
                <w:rFonts w:ascii="Times New Roman" w:hAnsi="Times New Roman" w:cs="Times New Roman"/>
                <w:sz w:val="16"/>
                <w:szCs w:val="16"/>
              </w:rPr>
              <w:t>agrofagów</w:t>
            </w:r>
            <w:proofErr w:type="spellEnd"/>
          </w:p>
          <w:p w:rsidR="002B2AFB" w:rsidRPr="00040F61" w:rsidRDefault="00040F61" w:rsidP="002E6AC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F61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9D5A4F">
              <w:rPr>
                <w:rFonts w:ascii="Times New Roman" w:hAnsi="Times New Roman" w:cs="Times New Roman"/>
                <w:sz w:val="16"/>
                <w:szCs w:val="16"/>
              </w:rPr>
              <w:t>_02 –</w:t>
            </w:r>
            <w:r w:rsidR="002E6AC0" w:rsidRPr="00040F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D5A4F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="002E6AC0" w:rsidRPr="00040F61">
              <w:rPr>
                <w:rFonts w:ascii="Times New Roman" w:hAnsi="Times New Roman" w:cs="Times New Roman"/>
                <w:sz w:val="16"/>
                <w:szCs w:val="16"/>
              </w:rPr>
              <w:t xml:space="preserve">na podstawowe techniki informacyjne i komunikacyjne niezbędne przy pisaniu </w:t>
            </w:r>
            <w:r w:rsidR="0002442A" w:rsidRPr="00040F61">
              <w:rPr>
                <w:rFonts w:ascii="Times New Roman" w:hAnsi="Times New Roman" w:cs="Times New Roman"/>
                <w:sz w:val="16"/>
                <w:szCs w:val="16"/>
              </w:rPr>
              <w:t xml:space="preserve">raportu </w:t>
            </w:r>
            <w:r w:rsidR="002E6AC0" w:rsidRPr="00040F61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D8217E" w:rsidRPr="00BF3673" w:rsidRDefault="00D8217E" w:rsidP="00AC18DC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3"/>
          </w:tcPr>
          <w:p w:rsidR="00C87504" w:rsidRPr="00040F61" w:rsidRDefault="00C87504" w:rsidP="00AC18D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F61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2E6AC0" w:rsidRPr="00040F61" w:rsidRDefault="00040F61" w:rsidP="002E6AC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F61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9D5A4F">
              <w:rPr>
                <w:rFonts w:ascii="Times New Roman" w:hAnsi="Times New Roman" w:cs="Times New Roman"/>
                <w:sz w:val="16"/>
                <w:szCs w:val="16"/>
              </w:rPr>
              <w:t xml:space="preserve">_01 – </w:t>
            </w:r>
            <w:r w:rsidR="009D5A4F" w:rsidRPr="00176B3E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2E6AC0" w:rsidRPr="00176B3E">
              <w:rPr>
                <w:rFonts w:ascii="Times New Roman" w:hAnsi="Times New Roman" w:cs="Times New Roman"/>
                <w:sz w:val="16"/>
                <w:szCs w:val="16"/>
              </w:rPr>
              <w:t xml:space="preserve">otrafi zaplanować odpowiedni do celu </w:t>
            </w:r>
            <w:r w:rsidR="0002442A" w:rsidRPr="00176B3E">
              <w:rPr>
                <w:rFonts w:ascii="Times New Roman" w:hAnsi="Times New Roman" w:cs="Times New Roman"/>
                <w:sz w:val="16"/>
                <w:szCs w:val="16"/>
              </w:rPr>
              <w:t>zadania</w:t>
            </w:r>
            <w:r w:rsidR="002E6AC0" w:rsidRPr="00176B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2442A" w:rsidRPr="00176B3E">
              <w:rPr>
                <w:rFonts w:ascii="Times New Roman" w:hAnsi="Times New Roman" w:cs="Times New Roman"/>
                <w:sz w:val="16"/>
                <w:szCs w:val="16"/>
              </w:rPr>
              <w:t>opis wyników własnych</w:t>
            </w:r>
            <w:r w:rsidR="002E6AC0" w:rsidRPr="00176B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2442A" w:rsidRPr="00176B3E"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r w:rsidR="002E6AC0" w:rsidRPr="00176B3E">
              <w:rPr>
                <w:rFonts w:ascii="Times New Roman" w:hAnsi="Times New Roman" w:cs="Times New Roman"/>
                <w:sz w:val="16"/>
                <w:szCs w:val="16"/>
              </w:rPr>
              <w:t>sformułować wnioski</w:t>
            </w:r>
            <w:r w:rsidR="002E6AC0" w:rsidRPr="00040F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E6AC0" w:rsidRPr="00040F61" w:rsidRDefault="00040F61" w:rsidP="002E6AC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F61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9D5A4F">
              <w:rPr>
                <w:rFonts w:ascii="Times New Roman" w:hAnsi="Times New Roman" w:cs="Times New Roman"/>
                <w:sz w:val="16"/>
                <w:szCs w:val="16"/>
              </w:rPr>
              <w:t>_02 –</w:t>
            </w:r>
            <w:r w:rsidR="00311BDD" w:rsidRPr="00040F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D5A4F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311BDD" w:rsidRPr="00040F61">
              <w:rPr>
                <w:rFonts w:ascii="Times New Roman" w:hAnsi="Times New Roman" w:cs="Times New Roman"/>
                <w:sz w:val="16"/>
                <w:szCs w:val="16"/>
              </w:rPr>
              <w:t>otrafi</w:t>
            </w:r>
            <w:r w:rsidR="002E6AC0" w:rsidRPr="00040F61">
              <w:rPr>
                <w:rFonts w:ascii="Times New Roman" w:hAnsi="Times New Roman" w:cs="Times New Roman"/>
                <w:sz w:val="16"/>
                <w:szCs w:val="16"/>
              </w:rPr>
              <w:t xml:space="preserve"> korzystać z bibliotecznych i internetow</w:t>
            </w:r>
            <w:r w:rsidR="00DE7EE9" w:rsidRPr="00040F61">
              <w:rPr>
                <w:rFonts w:ascii="Times New Roman" w:hAnsi="Times New Roman" w:cs="Times New Roman"/>
                <w:sz w:val="16"/>
                <w:szCs w:val="16"/>
              </w:rPr>
              <w:t>ych baz danych w celu pozyskania</w:t>
            </w:r>
            <w:r w:rsidR="002E6AC0" w:rsidRPr="00040F61">
              <w:rPr>
                <w:rFonts w:ascii="Times New Roman" w:hAnsi="Times New Roman" w:cs="Times New Roman"/>
                <w:sz w:val="16"/>
                <w:szCs w:val="16"/>
              </w:rPr>
              <w:t xml:space="preserve"> niezbędnych danych</w:t>
            </w:r>
          </w:p>
          <w:p w:rsidR="00D8217E" w:rsidRPr="00040F61" w:rsidRDefault="00040F61" w:rsidP="009D5A4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F61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9D5A4F">
              <w:rPr>
                <w:rFonts w:ascii="Times New Roman" w:hAnsi="Times New Roman" w:cs="Times New Roman"/>
                <w:sz w:val="16"/>
                <w:szCs w:val="16"/>
              </w:rPr>
              <w:t>_03 – p</w:t>
            </w:r>
            <w:r w:rsidR="00311BDD" w:rsidRPr="00040F61">
              <w:rPr>
                <w:rFonts w:ascii="Times New Roman" w:hAnsi="Times New Roman" w:cs="Times New Roman"/>
                <w:sz w:val="16"/>
                <w:szCs w:val="16"/>
              </w:rPr>
              <w:t xml:space="preserve">otrafi </w:t>
            </w:r>
            <w:r w:rsidR="002E6AC0" w:rsidRPr="00040F61">
              <w:rPr>
                <w:rFonts w:ascii="Times New Roman" w:hAnsi="Times New Roman" w:cs="Times New Roman"/>
                <w:sz w:val="16"/>
                <w:szCs w:val="16"/>
              </w:rPr>
              <w:t>przygotować i zaprezentować m</w:t>
            </w:r>
            <w:r w:rsidR="00311BDD" w:rsidRPr="00040F61">
              <w:rPr>
                <w:rFonts w:ascii="Times New Roman" w:hAnsi="Times New Roman" w:cs="Times New Roman"/>
                <w:sz w:val="16"/>
                <w:szCs w:val="16"/>
              </w:rPr>
              <w:t xml:space="preserve">ultimedialne wystąpienie ustne </w:t>
            </w:r>
            <w:r w:rsidR="002E6AC0" w:rsidRPr="00040F61">
              <w:rPr>
                <w:rFonts w:ascii="Times New Roman" w:hAnsi="Times New Roman" w:cs="Times New Roman"/>
                <w:sz w:val="16"/>
                <w:szCs w:val="16"/>
              </w:rPr>
              <w:t>wykorzystując  informacje pochodzące z różnych źródeł i korzystając z różnych technologii</w:t>
            </w:r>
          </w:p>
        </w:tc>
        <w:tc>
          <w:tcPr>
            <w:tcW w:w="2268" w:type="dxa"/>
            <w:gridSpan w:val="4"/>
          </w:tcPr>
          <w:p w:rsidR="00C87504" w:rsidRPr="00040F61" w:rsidRDefault="00C87504" w:rsidP="00AC18D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40F61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4944EE" w:rsidRPr="00040F61" w:rsidRDefault="00040F61" w:rsidP="00AC18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F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  <w:r w:rsidR="009D5A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_01 – j</w:t>
            </w:r>
            <w:r w:rsidR="00311BDD" w:rsidRPr="00040F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est </w:t>
            </w:r>
            <w:r w:rsidR="00812D1B" w:rsidRPr="00040F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otwarty na nowe rozwiązania i gotowy do wyznaczania priorytetów działań oraz odpowiedniego ich realizowania</w:t>
            </w:r>
          </w:p>
          <w:p w:rsidR="004944EE" w:rsidRPr="00040F61" w:rsidRDefault="004944EE" w:rsidP="00AC18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944EE" w:rsidRPr="00040F61" w:rsidRDefault="004944EE" w:rsidP="00AC18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939E1" w:rsidRPr="00040F61" w:rsidRDefault="004939E1" w:rsidP="00AC18D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87504" w:rsidTr="00AA366F">
        <w:trPr>
          <w:trHeight w:val="638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7938" w:type="dxa"/>
            <w:gridSpan w:val="10"/>
            <w:vAlign w:val="center"/>
          </w:tcPr>
          <w:p w:rsidR="00C87504" w:rsidRPr="0002442A" w:rsidRDefault="009D5A4F" w:rsidP="009D5A4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Efekty</w:t>
            </w:r>
            <w:r w:rsidR="00FA40D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W_01, W_02, U_01, U_02, U_03, K_01 – p</w:t>
            </w:r>
            <w:r w:rsidR="0002442A" w:rsidRPr="0002442A">
              <w:rPr>
                <w:rFonts w:ascii="Times New Roman" w:hAnsi="Times New Roman" w:cs="Times New Roman"/>
                <w:sz w:val="16"/>
                <w:szCs w:val="16"/>
              </w:rPr>
              <w:t xml:space="preserve">rotokół oceny </w:t>
            </w:r>
            <w:r w:rsidR="0002442A">
              <w:rPr>
                <w:rFonts w:ascii="Times New Roman" w:hAnsi="Times New Roman" w:cs="Times New Roman"/>
                <w:sz w:val="16"/>
                <w:szCs w:val="16"/>
              </w:rPr>
              <w:t xml:space="preserve">raportów/ prezentacji multimedialnych </w:t>
            </w:r>
            <w:r w:rsidR="0002442A" w:rsidRPr="0002442A">
              <w:rPr>
                <w:rFonts w:ascii="Times New Roman" w:hAnsi="Times New Roman" w:cs="Times New Roman"/>
                <w:sz w:val="16"/>
                <w:szCs w:val="16"/>
              </w:rPr>
              <w:t xml:space="preserve">z wykonanych zadań </w:t>
            </w:r>
            <w:r w:rsidR="003B4FA1" w:rsidRPr="0002442A"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r w:rsidR="0002442A" w:rsidRPr="0002442A">
              <w:rPr>
                <w:rFonts w:ascii="Times New Roman" w:hAnsi="Times New Roman" w:cs="Times New Roman"/>
                <w:sz w:val="16"/>
                <w:szCs w:val="16"/>
              </w:rPr>
              <w:t>aktywność na ćwiczeniach</w:t>
            </w:r>
          </w:p>
        </w:tc>
      </w:tr>
      <w:tr w:rsidR="00C87504" w:rsidTr="007C06C6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7938" w:type="dxa"/>
            <w:gridSpan w:val="10"/>
            <w:vAlign w:val="center"/>
          </w:tcPr>
          <w:p w:rsidR="0002442A" w:rsidRPr="007C72F7" w:rsidRDefault="003B4FA1" w:rsidP="0002442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72F7">
              <w:rPr>
                <w:rFonts w:ascii="Times New Roman" w:hAnsi="Times New Roman" w:cs="Times New Roman"/>
                <w:sz w:val="16"/>
                <w:szCs w:val="16"/>
              </w:rPr>
              <w:t xml:space="preserve">Prezentacje realizowane przez studentów </w:t>
            </w:r>
            <w:r w:rsidR="0002442A">
              <w:rPr>
                <w:rFonts w:ascii="Times New Roman" w:hAnsi="Times New Roman" w:cs="Times New Roman"/>
                <w:sz w:val="16"/>
                <w:szCs w:val="16"/>
              </w:rPr>
              <w:t xml:space="preserve">(raporty/ CD); </w:t>
            </w:r>
            <w:r w:rsidR="0002442A" w:rsidRPr="0002442A">
              <w:rPr>
                <w:rFonts w:ascii="Times New Roman" w:hAnsi="Times New Roman" w:cs="Times New Roman"/>
                <w:sz w:val="16"/>
                <w:szCs w:val="16"/>
              </w:rPr>
              <w:t>Protokół oceny raportów z wykonanych zadań</w:t>
            </w:r>
            <w:r w:rsidR="0002442A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3B4FA1" w:rsidRPr="007C72F7" w:rsidRDefault="003B4FA1" w:rsidP="0002442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72F7">
              <w:rPr>
                <w:rFonts w:ascii="Times New Roman" w:hAnsi="Times New Roman" w:cs="Times New Roman"/>
                <w:sz w:val="16"/>
                <w:szCs w:val="16"/>
              </w:rPr>
              <w:t>aktywność na seminariach</w:t>
            </w:r>
            <w:r w:rsidR="0002442A">
              <w:t xml:space="preserve">  </w:t>
            </w:r>
          </w:p>
        </w:tc>
      </w:tr>
      <w:tr w:rsidR="00C87504" w:rsidTr="007C06C6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10"/>
            <w:vAlign w:val="center"/>
          </w:tcPr>
          <w:p w:rsidR="00AA7418" w:rsidRPr="007C72F7" w:rsidRDefault="0002442A" w:rsidP="00AA74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Ocena prezentacji / raportu – 7</w:t>
            </w:r>
            <w:r w:rsidR="00AA7418" w:rsidRPr="007C72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0%</w:t>
            </w:r>
            <w:r w:rsidR="00AA7418" w:rsidRPr="007C72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ab/>
            </w:r>
          </w:p>
          <w:p w:rsidR="00C87504" w:rsidRPr="007C72F7" w:rsidRDefault="00AA7418" w:rsidP="0002442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C72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Ocena aktywności na zajęciach – </w:t>
            </w:r>
            <w:r w:rsidR="000244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3</w:t>
            </w:r>
            <w:r w:rsidRPr="007C72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0%</w:t>
            </w:r>
          </w:p>
        </w:tc>
      </w:tr>
      <w:tr w:rsidR="00C87504" w:rsidTr="007C06C6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7938" w:type="dxa"/>
            <w:gridSpan w:val="10"/>
            <w:vAlign w:val="center"/>
          </w:tcPr>
          <w:p w:rsidR="00C87504" w:rsidRPr="00C66326" w:rsidRDefault="00C66326" w:rsidP="00C6632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Sale laboratoryjne </w:t>
            </w:r>
            <w:r w:rsidRPr="00C663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C66326">
              <w:rPr>
                <w:rFonts w:ascii="Times New Roman" w:hAnsi="Times New Roman" w:cs="Times New Roman"/>
                <w:sz w:val="16"/>
                <w:szCs w:val="16"/>
              </w:rPr>
              <w:t xml:space="preserve">entomologiczne, fitopatologiczne i </w:t>
            </w:r>
            <w:proofErr w:type="spellStart"/>
            <w:r w:rsidRPr="00C66326">
              <w:rPr>
                <w:rFonts w:ascii="Times New Roman" w:hAnsi="Times New Roman" w:cs="Times New Roman"/>
                <w:sz w:val="16"/>
                <w:szCs w:val="16"/>
              </w:rPr>
              <w:t>herbologiczne</w:t>
            </w:r>
            <w:proofErr w:type="spellEnd"/>
          </w:p>
        </w:tc>
      </w:tr>
      <w:tr w:rsidR="00C87504" w:rsidRPr="00311BDD" w:rsidTr="007C06C6">
        <w:trPr>
          <w:trHeight w:val="340"/>
        </w:trPr>
        <w:tc>
          <w:tcPr>
            <w:tcW w:w="10418" w:type="dxa"/>
            <w:gridSpan w:val="1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8E31D8" w:rsidRPr="008E31D8" w:rsidRDefault="008E31D8" w:rsidP="008E31D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31D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31D8">
              <w:rPr>
                <w:rFonts w:ascii="Times New Roman" w:hAnsi="Times New Roman" w:cs="Times New Roman"/>
                <w:sz w:val="16"/>
                <w:szCs w:val="16"/>
              </w:rPr>
              <w:t xml:space="preserve">Marcinkowska J. 2012. </w:t>
            </w:r>
            <w:r w:rsidRPr="008E31D8">
              <w:rPr>
                <w:rFonts w:ascii="Times New Roman" w:hAnsi="Times New Roman" w:cs="Times New Roman"/>
              </w:rPr>
              <w:t xml:space="preserve"> </w:t>
            </w:r>
            <w:r w:rsidRPr="008E31D8">
              <w:rPr>
                <w:rFonts w:ascii="Times New Roman" w:hAnsi="Times New Roman" w:cs="Times New Roman"/>
                <w:sz w:val="16"/>
                <w:szCs w:val="16"/>
              </w:rPr>
              <w:t xml:space="preserve">Oznaczanie rodzajów grzybów sensu lato ważnych w fitopatologii. </w:t>
            </w:r>
            <w:r w:rsidRPr="008E31D8">
              <w:rPr>
                <w:rFonts w:ascii="Times New Roman" w:hAnsi="Times New Roman" w:cs="Times New Roman"/>
                <w:sz w:val="16"/>
              </w:rPr>
              <w:t>PWRL, Warszawa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31D8">
              <w:rPr>
                <w:rFonts w:ascii="Times New Roman" w:hAnsi="Times New Roman" w:cs="Times New Roman"/>
                <w:sz w:val="16"/>
                <w:szCs w:val="16"/>
              </w:rPr>
              <w:t>2. Paduch-</w:t>
            </w:r>
            <w:proofErr w:type="spellStart"/>
            <w:r w:rsidRPr="008E31D8">
              <w:rPr>
                <w:rFonts w:ascii="Times New Roman" w:hAnsi="Times New Roman" w:cs="Times New Roman"/>
                <w:sz w:val="16"/>
                <w:szCs w:val="16"/>
              </w:rPr>
              <w:t>Cichal</w:t>
            </w:r>
            <w:proofErr w:type="spellEnd"/>
            <w:r w:rsidRPr="008E31D8">
              <w:rPr>
                <w:rFonts w:ascii="Times New Roman" w:hAnsi="Times New Roman" w:cs="Times New Roman"/>
                <w:sz w:val="16"/>
                <w:szCs w:val="16"/>
              </w:rPr>
              <w:t xml:space="preserve"> E. i in. 2010. Fitopatologia szczegółowa. Choroby roślin ogrodniczych. Wydawnictwo SGGW.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31D8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proofErr w:type="spellStart"/>
            <w:r w:rsidRPr="008E31D8">
              <w:rPr>
                <w:rFonts w:ascii="Times New Roman" w:hAnsi="Times New Roman" w:cs="Times New Roman"/>
                <w:sz w:val="16"/>
                <w:szCs w:val="16"/>
              </w:rPr>
              <w:t>Kryczyński</w:t>
            </w:r>
            <w:proofErr w:type="spellEnd"/>
            <w:r w:rsidRPr="008E31D8">
              <w:rPr>
                <w:rFonts w:ascii="Times New Roman" w:hAnsi="Times New Roman" w:cs="Times New Roman"/>
                <w:sz w:val="16"/>
                <w:szCs w:val="16"/>
              </w:rPr>
              <w:t xml:space="preserve"> S., Weber Z. (red.) 2011. Fitopatologia tom 2. Choroby roślin uprawnych. </w:t>
            </w:r>
            <w:proofErr w:type="spellStart"/>
            <w:r w:rsidRPr="008E31D8"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 w:rsidRPr="008E31D8">
              <w:rPr>
                <w:rFonts w:ascii="Times New Roman" w:hAnsi="Times New Roman" w:cs="Times New Roman"/>
                <w:sz w:val="16"/>
                <w:szCs w:val="16"/>
              </w:rPr>
              <w:t>, Poznań.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31D8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Pr="008E31D8">
              <w:rPr>
                <w:rFonts w:ascii="Times New Roman" w:hAnsi="Times New Roman" w:cs="Times New Roman"/>
                <w:sz w:val="16"/>
              </w:rPr>
              <w:t xml:space="preserve"> Marcinkowska J. 2004. Oznaczanie rodzajów grzybów ważnych w patologii roślin. Fundacja Rozwój SGGW. Warszawa.</w:t>
            </w:r>
          </w:p>
          <w:p w:rsidR="008E31D8" w:rsidRPr="00311BDD" w:rsidRDefault="008E31D8" w:rsidP="008E31D8">
            <w:pPr>
              <w:pStyle w:val="Tekstpodstawowywcity"/>
              <w:ind w:firstLine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8E31D8">
              <w:rPr>
                <w:rFonts w:ascii="Times New Roman" w:hAnsi="Times New Roman" w:cs="Times New Roman"/>
                <w:szCs w:val="16"/>
              </w:rPr>
              <w:t>5.</w:t>
            </w:r>
            <w:r w:rsidRPr="008E31D8">
              <w:rPr>
                <w:rFonts w:ascii="Times New Roman" w:hAnsi="Times New Roman" w:cs="Times New Roman"/>
              </w:rPr>
              <w:t xml:space="preserve"> Marcinkowska J. 2010. Oznaczanie rodzajów ważnych organizmów </w:t>
            </w:r>
            <w:proofErr w:type="spellStart"/>
            <w:r w:rsidRPr="008E31D8">
              <w:rPr>
                <w:rFonts w:ascii="Times New Roman" w:hAnsi="Times New Roman" w:cs="Times New Roman"/>
              </w:rPr>
              <w:t>fitopatogenicznych</w:t>
            </w:r>
            <w:proofErr w:type="spellEnd"/>
            <w:r w:rsidRPr="008E31D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E31D8">
              <w:rPr>
                <w:rFonts w:ascii="Times New Roman" w:hAnsi="Times New Roman" w:cs="Times New Roman"/>
                <w:i/>
                <w:iCs/>
              </w:rPr>
              <w:t>Fungi</w:t>
            </w:r>
            <w:proofErr w:type="spellEnd"/>
            <w:r w:rsidRPr="008E31D8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8E31D8">
              <w:rPr>
                <w:rFonts w:ascii="Times New Roman" w:hAnsi="Times New Roman" w:cs="Times New Roman"/>
                <w:i/>
                <w:iCs/>
              </w:rPr>
              <w:t>Oomycota</w:t>
            </w:r>
            <w:proofErr w:type="spellEnd"/>
            <w:r w:rsidRPr="008E31D8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8E31D8">
              <w:rPr>
                <w:rFonts w:ascii="Times New Roman" w:hAnsi="Times New Roman" w:cs="Times New Roman"/>
                <w:i/>
                <w:iCs/>
              </w:rPr>
              <w:t>Plasmodiophorida</w:t>
            </w:r>
            <w:proofErr w:type="spellEnd"/>
            <w:r w:rsidRPr="008E31D8">
              <w:rPr>
                <w:rFonts w:ascii="Times New Roman" w:hAnsi="Times New Roman" w:cs="Times New Roman"/>
              </w:rPr>
              <w:t>). Wydawnictwo SGGW. Warszawa.6. Kochman J. 1986. Zarys mikologii dla fitopatologów. Wydawnictwo SGGW.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1D8">
              <w:rPr>
                <w:rFonts w:ascii="Times New Roman" w:hAnsi="Times New Roman" w:cs="Times New Roman"/>
              </w:rPr>
              <w:t>7. Programy Ochrony Roślin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1D8">
              <w:rPr>
                <w:rFonts w:ascii="Times New Roman" w:hAnsi="Times New Roman" w:cs="Times New Roman"/>
              </w:rPr>
              <w:t xml:space="preserve">8. Gołębiowska Z., Nawrot J. 1976 .Szkodniki magazynowe. </w:t>
            </w:r>
            <w:proofErr w:type="spellStart"/>
            <w:r w:rsidRPr="008E31D8">
              <w:rPr>
                <w:rFonts w:ascii="Times New Roman" w:hAnsi="Times New Roman" w:cs="Times New Roman"/>
              </w:rPr>
              <w:t>PWRiL</w:t>
            </w:r>
            <w:proofErr w:type="spellEnd"/>
            <w:r w:rsidRPr="008E31D8">
              <w:rPr>
                <w:rFonts w:ascii="Times New Roman" w:hAnsi="Times New Roman" w:cs="Times New Roman"/>
              </w:rPr>
              <w:t>, Warszawa.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1D8">
              <w:rPr>
                <w:rFonts w:ascii="Times New Roman" w:hAnsi="Times New Roman" w:cs="Times New Roman"/>
              </w:rPr>
              <w:t xml:space="preserve">9. Nawrot J., </w:t>
            </w:r>
            <w:proofErr w:type="spellStart"/>
            <w:r w:rsidRPr="008E31D8">
              <w:rPr>
                <w:rFonts w:ascii="Times New Roman" w:hAnsi="Times New Roman" w:cs="Times New Roman"/>
              </w:rPr>
              <w:t>Klejdysz</w:t>
            </w:r>
            <w:proofErr w:type="spellEnd"/>
            <w:r w:rsidRPr="008E31D8">
              <w:rPr>
                <w:rFonts w:ascii="Times New Roman" w:hAnsi="Times New Roman" w:cs="Times New Roman"/>
              </w:rPr>
              <w:t xml:space="preserve"> T. 2010. Atlas owadów. Szkodniki żywności.  Pol. Stow. </w:t>
            </w:r>
            <w:proofErr w:type="spellStart"/>
            <w:r w:rsidRPr="008E31D8">
              <w:rPr>
                <w:rFonts w:ascii="Times New Roman" w:hAnsi="Times New Roman" w:cs="Times New Roman"/>
                <w:lang w:val="en-US"/>
              </w:rPr>
              <w:t>Prac</w:t>
            </w:r>
            <w:proofErr w:type="spellEnd"/>
            <w:r w:rsidRPr="008E31D8">
              <w:rPr>
                <w:rFonts w:ascii="Times New Roman" w:hAnsi="Times New Roman" w:cs="Times New Roman"/>
                <w:lang w:val="en-US"/>
              </w:rPr>
              <w:t>. DDD, Warszawa.</w:t>
            </w:r>
            <w:r w:rsidRPr="00311BDD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8E31D8">
              <w:rPr>
                <w:rFonts w:ascii="Times New Roman" w:hAnsi="Times New Roman" w:cs="Times New Roman"/>
                <w:lang w:val="en-US"/>
              </w:rPr>
              <w:t xml:space="preserve">10. Mound L. 1989. Common insect pests of stored food products. A guide to their identification. </w:t>
            </w:r>
            <w:r w:rsidRPr="00311BDD">
              <w:rPr>
                <w:rFonts w:ascii="Times New Roman" w:hAnsi="Times New Roman" w:cs="Times New Roman"/>
                <w:lang w:val="en-GB"/>
              </w:rPr>
              <w:t>British Museum (Natural History), London.</w:t>
            </w:r>
          </w:p>
          <w:p w:rsidR="00C87504" w:rsidRPr="00311BDD" w:rsidRDefault="008E31D8" w:rsidP="008E31D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E31D8">
              <w:rPr>
                <w:rFonts w:ascii="Times New Roman" w:hAnsi="Times New Roman" w:cs="Times New Roman"/>
                <w:sz w:val="16"/>
                <w:szCs w:val="16"/>
              </w:rPr>
              <w:t xml:space="preserve">11. Woźnica Z. 2008. </w:t>
            </w:r>
            <w:proofErr w:type="spellStart"/>
            <w:r w:rsidRPr="008E31D8">
              <w:rPr>
                <w:rFonts w:ascii="Times New Roman" w:hAnsi="Times New Roman" w:cs="Times New Roman"/>
                <w:sz w:val="16"/>
                <w:szCs w:val="16"/>
              </w:rPr>
              <w:t>Herbolgia</w:t>
            </w:r>
            <w:proofErr w:type="spellEnd"/>
            <w:r w:rsidRPr="008E31D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E31D8"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 w:rsidRPr="008E31D8">
              <w:rPr>
                <w:rFonts w:ascii="Times New Roman" w:hAnsi="Times New Roman" w:cs="Times New Roman"/>
                <w:sz w:val="16"/>
                <w:szCs w:val="16"/>
              </w:rPr>
              <w:t>, Poznań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31D8">
              <w:rPr>
                <w:rFonts w:ascii="Times New Roman" w:hAnsi="Times New Roman" w:cs="Times New Roman"/>
                <w:sz w:val="16"/>
                <w:szCs w:val="16"/>
              </w:rPr>
              <w:t xml:space="preserve">12. Krysiak M., Gawroński S. W., Adamczewski K., Kierzek R. 2011. </w:t>
            </w:r>
            <w:proofErr w:type="spellStart"/>
            <w:r w:rsidRPr="00311BD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Als</w:t>
            </w:r>
            <w:proofErr w:type="spellEnd"/>
            <w:r w:rsidRPr="00311BD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gene mutations in </w:t>
            </w:r>
            <w:proofErr w:type="spellStart"/>
            <w:r w:rsidRPr="00311BDD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Apera</w:t>
            </w:r>
            <w:proofErr w:type="spellEnd"/>
            <w:r w:rsidRPr="00311BDD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11BDD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spica-venti</w:t>
            </w:r>
            <w:proofErr w:type="spellEnd"/>
            <w:r w:rsidRPr="00311BD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confer broad-range resistance to herbicides. Journal of Plant Protection Research, 51(3): 261-267.</w:t>
            </w:r>
          </w:p>
        </w:tc>
      </w:tr>
      <w:tr w:rsidR="00C87504" w:rsidTr="007C06C6">
        <w:trPr>
          <w:trHeight w:val="340"/>
        </w:trPr>
        <w:tc>
          <w:tcPr>
            <w:tcW w:w="10418" w:type="dxa"/>
            <w:gridSpan w:val="12"/>
            <w:vAlign w:val="center"/>
          </w:tcPr>
          <w:p w:rsidR="00C87504" w:rsidRPr="00A02114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</w:tc>
      </w:tr>
    </w:tbl>
    <w:p w:rsidR="00311BDD" w:rsidRDefault="00311BDD" w:rsidP="00ED11F9">
      <w:pPr>
        <w:rPr>
          <w:sz w:val="16"/>
        </w:rPr>
      </w:pPr>
    </w:p>
    <w:p w:rsidR="00311BDD" w:rsidRDefault="00311BDD" w:rsidP="00ED11F9">
      <w:pPr>
        <w:rPr>
          <w:sz w:val="16"/>
        </w:rPr>
      </w:pPr>
    </w:p>
    <w:p w:rsidR="00C661E9" w:rsidRDefault="00C661E9">
      <w:pPr>
        <w:rPr>
          <w:sz w:val="16"/>
        </w:rPr>
      </w:pPr>
      <w:r>
        <w:rPr>
          <w:sz w:val="16"/>
        </w:rPr>
        <w:br w:type="page"/>
      </w:r>
    </w:p>
    <w:p w:rsidR="00ED11F9" w:rsidRPr="00A02114" w:rsidRDefault="00ED11F9" w:rsidP="00ED11F9">
      <w:pPr>
        <w:rPr>
          <w:b/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  <w:r w:rsidR="00DB2BDC" w:rsidRPr="00DB2BDC">
        <w:t xml:space="preserve"> 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156D36" w:rsidP="00DB2BD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</w:t>
            </w:r>
            <w:r w:rsidR="00DB2BDC" w:rsidRPr="00DB2BDC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156D36" w:rsidP="00176B3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DB2BDC">
              <w:rPr>
                <w:b/>
                <w:bCs/>
                <w:sz w:val="18"/>
                <w:szCs w:val="18"/>
              </w:rPr>
              <w:t>,</w:t>
            </w:r>
            <w:r w:rsidR="00176B3E">
              <w:rPr>
                <w:b/>
                <w:bCs/>
                <w:sz w:val="18"/>
                <w:szCs w:val="18"/>
              </w:rPr>
              <w:t>0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</w:t>
      </w:r>
      <w:r w:rsidR="007C72F7">
        <w:rPr>
          <w:sz w:val="18"/>
        </w:rPr>
        <w:t>kierunkowych efektów 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370"/>
        <w:gridCol w:w="3001"/>
        <w:gridCol w:w="1381"/>
      </w:tblGrid>
      <w:tr w:rsidR="0093211F" w:rsidRPr="00FB1C10" w:rsidTr="00C661E9">
        <w:trPr>
          <w:trHeight w:val="758"/>
        </w:trPr>
        <w:tc>
          <w:tcPr>
            <w:tcW w:w="174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37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CA3A73" w:rsidRPr="00FB1C10" w:rsidTr="00C661E9">
        <w:tc>
          <w:tcPr>
            <w:tcW w:w="1740" w:type="dxa"/>
          </w:tcPr>
          <w:p w:rsidR="00CA3A73" w:rsidRPr="00311BDD" w:rsidRDefault="00CA3A73" w:rsidP="006478A0">
            <w:pPr>
              <w:rPr>
                <w:bCs/>
                <w:sz w:val="18"/>
                <w:szCs w:val="18"/>
              </w:rPr>
            </w:pPr>
            <w:r w:rsidRPr="00311BDD">
              <w:rPr>
                <w:bCs/>
                <w:sz w:val="18"/>
                <w:szCs w:val="18"/>
              </w:rPr>
              <w:t xml:space="preserve">Wiedza </w:t>
            </w:r>
            <w:r w:rsidR="00C661E9">
              <w:rPr>
                <w:bCs/>
                <w:sz w:val="18"/>
                <w:szCs w:val="18"/>
              </w:rPr>
              <w:t>–</w:t>
            </w:r>
            <w:r w:rsidRPr="00311BDD">
              <w:rPr>
                <w:bCs/>
                <w:sz w:val="18"/>
                <w:szCs w:val="18"/>
              </w:rPr>
              <w:t xml:space="preserve"> </w:t>
            </w:r>
            <w:r w:rsidR="00C661E9">
              <w:rPr>
                <w:bCs/>
                <w:sz w:val="18"/>
                <w:szCs w:val="18"/>
              </w:rPr>
              <w:t>W_0</w:t>
            </w:r>
            <w:r w:rsidR="00311BDD" w:rsidRPr="00311BD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70" w:type="dxa"/>
          </w:tcPr>
          <w:p w:rsidR="00CA3A73" w:rsidRPr="00C661E9" w:rsidRDefault="00C661E9" w:rsidP="00C661E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8"/>
              </w:rPr>
              <w:t>z</w:t>
            </w:r>
            <w:r w:rsidR="00CA3A73" w:rsidRPr="00C661E9">
              <w:rPr>
                <w:rFonts w:ascii="Times New Roman" w:hAnsi="Times New Roman" w:cs="Times New Roman"/>
                <w:bCs/>
                <w:sz w:val="16"/>
                <w:szCs w:val="18"/>
              </w:rPr>
              <w:t>na i rozumie po</w:t>
            </w:r>
            <w:r w:rsidR="00311BDD" w:rsidRPr="00C661E9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dstawowe zagadnienia z zakresu </w:t>
            </w:r>
            <w:r w:rsidR="00CA3A73" w:rsidRPr="00C661E9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ogrodnictwa, w tym nowoczesne metody i technologie stosowane w celu zwalczania </w:t>
            </w:r>
            <w:proofErr w:type="spellStart"/>
            <w:r w:rsidR="00CA3A73" w:rsidRPr="00C661E9">
              <w:rPr>
                <w:rFonts w:ascii="Times New Roman" w:hAnsi="Times New Roman" w:cs="Times New Roman"/>
                <w:bCs/>
                <w:sz w:val="16"/>
                <w:szCs w:val="18"/>
              </w:rPr>
              <w:t>agrofagó</w:t>
            </w:r>
            <w:r w:rsidRPr="00C661E9">
              <w:rPr>
                <w:rFonts w:ascii="Times New Roman" w:hAnsi="Times New Roman" w:cs="Times New Roman"/>
                <w:bCs/>
                <w:sz w:val="16"/>
                <w:szCs w:val="18"/>
              </w:rPr>
              <w:t>w</w:t>
            </w:r>
            <w:proofErr w:type="spellEnd"/>
          </w:p>
        </w:tc>
        <w:tc>
          <w:tcPr>
            <w:tcW w:w="3001" w:type="dxa"/>
          </w:tcPr>
          <w:p w:rsidR="00CA3A73" w:rsidRPr="00C661E9" w:rsidRDefault="00CA3A73" w:rsidP="00C661E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C661E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  <w:r w:rsidR="00C661E9" w:rsidRPr="00C661E9">
              <w:rPr>
                <w:rFonts w:ascii="Times New Roman" w:hAnsi="Times New Roman" w:cs="Times New Roman"/>
                <w:bCs/>
                <w:sz w:val="16"/>
                <w:szCs w:val="18"/>
              </w:rPr>
              <w:t>_</w:t>
            </w:r>
            <w:r w:rsidRPr="00C661E9">
              <w:rPr>
                <w:rFonts w:ascii="Times New Roman" w:hAnsi="Times New Roman" w:cs="Times New Roman"/>
                <w:bCs/>
                <w:sz w:val="16"/>
                <w:szCs w:val="18"/>
              </w:rPr>
              <w:t>W02; K</w:t>
            </w:r>
            <w:r w:rsidR="00C661E9" w:rsidRPr="00C661E9">
              <w:rPr>
                <w:rFonts w:ascii="Times New Roman" w:hAnsi="Times New Roman" w:cs="Times New Roman"/>
                <w:bCs/>
                <w:sz w:val="16"/>
                <w:szCs w:val="18"/>
              </w:rPr>
              <w:t>_</w:t>
            </w:r>
            <w:r w:rsidRPr="00C661E9">
              <w:rPr>
                <w:rFonts w:ascii="Times New Roman" w:hAnsi="Times New Roman" w:cs="Times New Roman"/>
                <w:bCs/>
                <w:sz w:val="16"/>
                <w:szCs w:val="18"/>
              </w:rPr>
              <w:t>W04</w:t>
            </w:r>
          </w:p>
        </w:tc>
        <w:tc>
          <w:tcPr>
            <w:tcW w:w="1381" w:type="dxa"/>
          </w:tcPr>
          <w:p w:rsidR="00CA3A73" w:rsidRPr="00C661E9" w:rsidRDefault="00CA3A73" w:rsidP="00311BD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C661E9">
              <w:rPr>
                <w:rFonts w:ascii="Times New Roman" w:hAnsi="Times New Roman" w:cs="Times New Roman"/>
                <w:bCs/>
                <w:sz w:val="16"/>
                <w:szCs w:val="18"/>
              </w:rPr>
              <w:t>3</w:t>
            </w:r>
            <w:r w:rsidR="00311BDD" w:rsidRPr="00C661E9">
              <w:rPr>
                <w:rFonts w:ascii="Times New Roman" w:hAnsi="Times New Roman" w:cs="Times New Roman"/>
                <w:bCs/>
                <w:sz w:val="16"/>
                <w:szCs w:val="18"/>
              </w:rPr>
              <w:t>; 3</w:t>
            </w:r>
          </w:p>
        </w:tc>
      </w:tr>
      <w:tr w:rsidR="00CA3A73" w:rsidRPr="00FB1C10" w:rsidTr="00C661E9">
        <w:tc>
          <w:tcPr>
            <w:tcW w:w="1740" w:type="dxa"/>
          </w:tcPr>
          <w:p w:rsidR="00CA3A73" w:rsidRPr="00311BDD" w:rsidRDefault="00CA3A73" w:rsidP="006478A0">
            <w:pPr>
              <w:rPr>
                <w:bCs/>
                <w:sz w:val="18"/>
                <w:szCs w:val="18"/>
              </w:rPr>
            </w:pPr>
            <w:r w:rsidRPr="00311BDD">
              <w:rPr>
                <w:bCs/>
                <w:sz w:val="18"/>
                <w:szCs w:val="18"/>
              </w:rPr>
              <w:t xml:space="preserve">Wiedza </w:t>
            </w:r>
            <w:r w:rsidR="00C661E9">
              <w:rPr>
                <w:bCs/>
                <w:sz w:val="18"/>
                <w:szCs w:val="18"/>
              </w:rPr>
              <w:t>–</w:t>
            </w:r>
            <w:r w:rsidR="00311BDD" w:rsidRPr="00311BDD">
              <w:rPr>
                <w:bCs/>
                <w:sz w:val="18"/>
                <w:szCs w:val="18"/>
              </w:rPr>
              <w:t xml:space="preserve"> </w:t>
            </w:r>
            <w:r w:rsidR="00C661E9">
              <w:rPr>
                <w:bCs/>
                <w:sz w:val="18"/>
                <w:szCs w:val="18"/>
              </w:rPr>
              <w:t>W_0</w:t>
            </w:r>
            <w:r w:rsidR="00311BDD" w:rsidRPr="00311BD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70" w:type="dxa"/>
          </w:tcPr>
          <w:p w:rsidR="00CA3A73" w:rsidRPr="00FB1C10" w:rsidRDefault="00C661E9" w:rsidP="00311BDD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040F61">
              <w:rPr>
                <w:rFonts w:ascii="Times New Roman" w:hAnsi="Times New Roman" w:cs="Times New Roman"/>
                <w:sz w:val="16"/>
                <w:szCs w:val="16"/>
              </w:rPr>
              <w:t>na podstawowe techniki informacyjne i komunikacyjne niezbędne przy pisaniu raportu</w:t>
            </w:r>
            <w:r w:rsidR="00CA3A73" w:rsidRPr="00F81149">
              <w:rPr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3001" w:type="dxa"/>
          </w:tcPr>
          <w:p w:rsidR="00CA3A73" w:rsidRPr="00C661E9" w:rsidRDefault="00CA3A73" w:rsidP="00C661E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C661E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  <w:r w:rsidR="00C661E9" w:rsidRPr="00C661E9">
              <w:rPr>
                <w:rFonts w:ascii="Times New Roman" w:hAnsi="Times New Roman" w:cs="Times New Roman"/>
                <w:bCs/>
                <w:sz w:val="16"/>
                <w:szCs w:val="18"/>
              </w:rPr>
              <w:t>_</w:t>
            </w:r>
            <w:r w:rsidRPr="00C661E9">
              <w:rPr>
                <w:rFonts w:ascii="Times New Roman" w:hAnsi="Times New Roman" w:cs="Times New Roman"/>
                <w:bCs/>
                <w:sz w:val="16"/>
                <w:szCs w:val="18"/>
              </w:rPr>
              <w:t>W11</w:t>
            </w:r>
          </w:p>
        </w:tc>
        <w:tc>
          <w:tcPr>
            <w:tcW w:w="1381" w:type="dxa"/>
          </w:tcPr>
          <w:p w:rsidR="00CA3A73" w:rsidRPr="00C661E9" w:rsidRDefault="00CA3A73" w:rsidP="00311BD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C661E9">
              <w:rPr>
                <w:rFonts w:ascii="Times New Roman" w:hAnsi="Times New Roman" w:cs="Times New Roman"/>
                <w:bCs/>
                <w:sz w:val="16"/>
                <w:szCs w:val="18"/>
              </w:rPr>
              <w:t>2</w:t>
            </w:r>
          </w:p>
        </w:tc>
      </w:tr>
      <w:tr w:rsidR="00CA3A73" w:rsidRPr="00FB1C10" w:rsidTr="00C661E9">
        <w:tc>
          <w:tcPr>
            <w:tcW w:w="1740" w:type="dxa"/>
          </w:tcPr>
          <w:p w:rsidR="00CA3A73" w:rsidRPr="00311BDD" w:rsidRDefault="00CA3A73" w:rsidP="00C661E9">
            <w:pPr>
              <w:rPr>
                <w:bCs/>
                <w:sz w:val="18"/>
                <w:szCs w:val="18"/>
              </w:rPr>
            </w:pPr>
            <w:r w:rsidRPr="00311BDD">
              <w:rPr>
                <w:bCs/>
                <w:sz w:val="18"/>
                <w:szCs w:val="18"/>
              </w:rPr>
              <w:t xml:space="preserve">Umiejętności </w:t>
            </w:r>
            <w:r w:rsidR="00C661E9">
              <w:rPr>
                <w:bCs/>
                <w:sz w:val="18"/>
                <w:szCs w:val="18"/>
              </w:rPr>
              <w:t>–</w:t>
            </w:r>
            <w:r w:rsidRPr="00311BDD">
              <w:rPr>
                <w:bCs/>
                <w:sz w:val="18"/>
                <w:szCs w:val="18"/>
              </w:rPr>
              <w:t xml:space="preserve"> </w:t>
            </w:r>
            <w:r w:rsidR="00C661E9">
              <w:rPr>
                <w:bCs/>
                <w:sz w:val="18"/>
                <w:szCs w:val="18"/>
              </w:rPr>
              <w:t>U_01</w:t>
            </w:r>
          </w:p>
        </w:tc>
        <w:tc>
          <w:tcPr>
            <w:tcW w:w="4370" w:type="dxa"/>
          </w:tcPr>
          <w:p w:rsidR="00CA3A73" w:rsidRPr="00C661E9" w:rsidRDefault="00176B3E" w:rsidP="00311BDD">
            <w:pPr>
              <w:spacing w:line="240" w:lineRule="auto"/>
              <w:rPr>
                <w:bCs/>
                <w:sz w:val="18"/>
                <w:szCs w:val="18"/>
                <w:highlight w:val="yellow"/>
              </w:rPr>
            </w:pPr>
            <w:r w:rsidRPr="00176B3E">
              <w:rPr>
                <w:rFonts w:ascii="Times New Roman" w:hAnsi="Times New Roman" w:cs="Times New Roman"/>
                <w:sz w:val="16"/>
                <w:szCs w:val="16"/>
              </w:rPr>
              <w:t>potrafi zaplanować odpowiedni do celu zadania opis wyników własnych i sformułować wnioski</w:t>
            </w:r>
          </w:p>
        </w:tc>
        <w:tc>
          <w:tcPr>
            <w:tcW w:w="3001" w:type="dxa"/>
          </w:tcPr>
          <w:p w:rsidR="00CA3A73" w:rsidRPr="00C661E9" w:rsidRDefault="00CA3A73" w:rsidP="00C661E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C661E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  <w:r w:rsidR="00C661E9" w:rsidRPr="00C661E9">
              <w:rPr>
                <w:rFonts w:ascii="Times New Roman" w:hAnsi="Times New Roman" w:cs="Times New Roman"/>
                <w:bCs/>
                <w:sz w:val="16"/>
                <w:szCs w:val="18"/>
              </w:rPr>
              <w:t>_</w:t>
            </w:r>
            <w:r w:rsidRPr="00C661E9">
              <w:rPr>
                <w:rFonts w:ascii="Times New Roman" w:hAnsi="Times New Roman" w:cs="Times New Roman"/>
                <w:bCs/>
                <w:sz w:val="16"/>
                <w:szCs w:val="18"/>
              </w:rPr>
              <w:t>U01;</w:t>
            </w:r>
            <w:r w:rsidRPr="00C661E9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C661E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  <w:r w:rsidR="00C661E9" w:rsidRPr="00C661E9">
              <w:rPr>
                <w:rFonts w:ascii="Times New Roman" w:hAnsi="Times New Roman" w:cs="Times New Roman"/>
                <w:bCs/>
                <w:sz w:val="16"/>
                <w:szCs w:val="18"/>
              </w:rPr>
              <w:t>_</w:t>
            </w:r>
            <w:r w:rsidRPr="00C661E9">
              <w:rPr>
                <w:rFonts w:ascii="Times New Roman" w:hAnsi="Times New Roman" w:cs="Times New Roman"/>
                <w:bCs/>
                <w:sz w:val="16"/>
                <w:szCs w:val="18"/>
              </w:rPr>
              <w:t>U11</w:t>
            </w:r>
          </w:p>
        </w:tc>
        <w:tc>
          <w:tcPr>
            <w:tcW w:w="1381" w:type="dxa"/>
          </w:tcPr>
          <w:p w:rsidR="00CA3A73" w:rsidRPr="00C661E9" w:rsidRDefault="00CA3A73" w:rsidP="00311BD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C661E9">
              <w:rPr>
                <w:rFonts w:ascii="Times New Roman" w:hAnsi="Times New Roman" w:cs="Times New Roman"/>
                <w:bCs/>
                <w:sz w:val="16"/>
                <w:szCs w:val="18"/>
              </w:rPr>
              <w:t>3</w:t>
            </w:r>
            <w:r w:rsidR="00311BDD" w:rsidRPr="00C661E9">
              <w:rPr>
                <w:rFonts w:ascii="Times New Roman" w:hAnsi="Times New Roman" w:cs="Times New Roman"/>
                <w:bCs/>
                <w:sz w:val="16"/>
                <w:szCs w:val="18"/>
              </w:rPr>
              <w:t>; 2</w:t>
            </w:r>
          </w:p>
        </w:tc>
      </w:tr>
      <w:tr w:rsidR="00CA3A73" w:rsidRPr="00FB1C10" w:rsidTr="00C661E9">
        <w:tc>
          <w:tcPr>
            <w:tcW w:w="1740" w:type="dxa"/>
          </w:tcPr>
          <w:p w:rsidR="00CA3A73" w:rsidRPr="00311BDD" w:rsidRDefault="00CA3A73" w:rsidP="006478A0">
            <w:pPr>
              <w:rPr>
                <w:bCs/>
                <w:sz w:val="18"/>
                <w:szCs w:val="18"/>
              </w:rPr>
            </w:pPr>
            <w:r w:rsidRPr="00311BDD">
              <w:rPr>
                <w:bCs/>
                <w:sz w:val="18"/>
                <w:szCs w:val="18"/>
              </w:rPr>
              <w:t xml:space="preserve">Umiejętności </w:t>
            </w:r>
            <w:r w:rsidR="00C661E9">
              <w:rPr>
                <w:bCs/>
                <w:sz w:val="18"/>
                <w:szCs w:val="18"/>
              </w:rPr>
              <w:t>–</w:t>
            </w:r>
            <w:r w:rsidRPr="00311BDD">
              <w:rPr>
                <w:bCs/>
                <w:sz w:val="18"/>
                <w:szCs w:val="18"/>
              </w:rPr>
              <w:t xml:space="preserve"> </w:t>
            </w:r>
            <w:r w:rsidR="00C661E9">
              <w:rPr>
                <w:bCs/>
                <w:sz w:val="18"/>
                <w:szCs w:val="18"/>
              </w:rPr>
              <w:t>U_0</w:t>
            </w:r>
            <w:r w:rsidR="00311BDD" w:rsidRPr="00311BD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70" w:type="dxa"/>
          </w:tcPr>
          <w:p w:rsidR="00CA3A73" w:rsidRPr="00FB1C10" w:rsidRDefault="00C661E9" w:rsidP="00311BDD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040F61">
              <w:rPr>
                <w:rFonts w:ascii="Times New Roman" w:hAnsi="Times New Roman" w:cs="Times New Roman"/>
                <w:sz w:val="16"/>
                <w:szCs w:val="16"/>
              </w:rPr>
              <w:t>otrafi korzystać z bibliotecznych i internetowych baz danych w celu pozyskania niezbędnych danych</w:t>
            </w:r>
          </w:p>
        </w:tc>
        <w:tc>
          <w:tcPr>
            <w:tcW w:w="3001" w:type="dxa"/>
          </w:tcPr>
          <w:p w:rsidR="00CA3A73" w:rsidRPr="00C661E9" w:rsidRDefault="00CA3A73" w:rsidP="00C661E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C661E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  <w:r w:rsidR="00C661E9" w:rsidRPr="00C661E9">
              <w:rPr>
                <w:rFonts w:ascii="Times New Roman" w:hAnsi="Times New Roman" w:cs="Times New Roman"/>
                <w:bCs/>
                <w:sz w:val="16"/>
                <w:szCs w:val="18"/>
              </w:rPr>
              <w:t>_</w:t>
            </w:r>
            <w:r w:rsidRPr="00C661E9">
              <w:rPr>
                <w:rFonts w:ascii="Times New Roman" w:hAnsi="Times New Roman" w:cs="Times New Roman"/>
                <w:bCs/>
                <w:sz w:val="16"/>
                <w:szCs w:val="18"/>
              </w:rPr>
              <w:t>U10</w:t>
            </w:r>
          </w:p>
        </w:tc>
        <w:tc>
          <w:tcPr>
            <w:tcW w:w="1381" w:type="dxa"/>
          </w:tcPr>
          <w:p w:rsidR="00CA3A73" w:rsidRPr="00C661E9" w:rsidRDefault="00CA3A73" w:rsidP="00311BD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C661E9">
              <w:rPr>
                <w:rFonts w:ascii="Times New Roman" w:hAnsi="Times New Roman" w:cs="Times New Roman"/>
                <w:bCs/>
                <w:sz w:val="16"/>
                <w:szCs w:val="18"/>
              </w:rPr>
              <w:t>3</w:t>
            </w:r>
          </w:p>
        </w:tc>
      </w:tr>
      <w:tr w:rsidR="00CA3A73" w:rsidRPr="00FB1C10" w:rsidTr="00C661E9">
        <w:tc>
          <w:tcPr>
            <w:tcW w:w="1740" w:type="dxa"/>
          </w:tcPr>
          <w:p w:rsidR="00CA3A73" w:rsidRPr="00311BDD" w:rsidRDefault="00C661E9" w:rsidP="00C661E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Umiejętności</w:t>
            </w:r>
            <w:r w:rsidR="00311BDD" w:rsidRPr="00311BDD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– U_03</w:t>
            </w:r>
          </w:p>
        </w:tc>
        <w:tc>
          <w:tcPr>
            <w:tcW w:w="4370" w:type="dxa"/>
          </w:tcPr>
          <w:p w:rsidR="00CA3A73" w:rsidRPr="00FB1C10" w:rsidRDefault="00C661E9" w:rsidP="00311BDD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040F61">
              <w:rPr>
                <w:rFonts w:ascii="Times New Roman" w:hAnsi="Times New Roman" w:cs="Times New Roman"/>
                <w:sz w:val="16"/>
                <w:szCs w:val="16"/>
              </w:rPr>
              <w:t>otrafi przygotować i zaprezentować multimedialne wystąpienie ustne wykorzystując  informacje pochodzące z różnych źródeł i korzystając z różnych technologii</w:t>
            </w:r>
          </w:p>
        </w:tc>
        <w:tc>
          <w:tcPr>
            <w:tcW w:w="3001" w:type="dxa"/>
          </w:tcPr>
          <w:p w:rsidR="00CA3A73" w:rsidRPr="00C661E9" w:rsidRDefault="00CA3A73" w:rsidP="00C661E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C661E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  <w:r w:rsidR="00C661E9" w:rsidRPr="00C661E9">
              <w:rPr>
                <w:rFonts w:ascii="Times New Roman" w:hAnsi="Times New Roman" w:cs="Times New Roman"/>
                <w:bCs/>
                <w:sz w:val="16"/>
                <w:szCs w:val="18"/>
              </w:rPr>
              <w:t>_</w:t>
            </w:r>
            <w:r w:rsidRPr="00C661E9">
              <w:rPr>
                <w:rFonts w:ascii="Times New Roman" w:hAnsi="Times New Roman" w:cs="Times New Roman"/>
                <w:bCs/>
                <w:sz w:val="16"/>
                <w:szCs w:val="18"/>
              </w:rPr>
              <w:t>U13; K</w:t>
            </w:r>
            <w:r w:rsidR="00C661E9" w:rsidRPr="00C661E9">
              <w:rPr>
                <w:rFonts w:ascii="Times New Roman" w:hAnsi="Times New Roman" w:cs="Times New Roman"/>
                <w:bCs/>
                <w:sz w:val="16"/>
                <w:szCs w:val="18"/>
              </w:rPr>
              <w:t>_</w:t>
            </w:r>
            <w:r w:rsidRPr="00C661E9">
              <w:rPr>
                <w:rFonts w:ascii="Times New Roman" w:hAnsi="Times New Roman" w:cs="Times New Roman"/>
                <w:bCs/>
                <w:sz w:val="16"/>
                <w:szCs w:val="18"/>
              </w:rPr>
              <w:t>U14</w:t>
            </w:r>
          </w:p>
        </w:tc>
        <w:tc>
          <w:tcPr>
            <w:tcW w:w="1381" w:type="dxa"/>
          </w:tcPr>
          <w:p w:rsidR="00CA3A73" w:rsidRPr="00C661E9" w:rsidRDefault="00CA3A73" w:rsidP="00311BD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C661E9">
              <w:rPr>
                <w:rFonts w:ascii="Times New Roman" w:hAnsi="Times New Roman" w:cs="Times New Roman"/>
                <w:bCs/>
                <w:sz w:val="16"/>
                <w:szCs w:val="18"/>
              </w:rPr>
              <w:t>3</w:t>
            </w:r>
            <w:r w:rsidR="00311BDD" w:rsidRPr="00C661E9">
              <w:rPr>
                <w:rFonts w:ascii="Times New Roman" w:hAnsi="Times New Roman" w:cs="Times New Roman"/>
                <w:bCs/>
                <w:sz w:val="16"/>
                <w:szCs w:val="18"/>
              </w:rPr>
              <w:t>; 2</w:t>
            </w:r>
          </w:p>
        </w:tc>
      </w:tr>
      <w:tr w:rsidR="00CA3A73" w:rsidRPr="00FB1C10" w:rsidTr="00C661E9">
        <w:tc>
          <w:tcPr>
            <w:tcW w:w="1740" w:type="dxa"/>
          </w:tcPr>
          <w:p w:rsidR="00CA3A73" w:rsidRPr="00311BDD" w:rsidRDefault="00CA3A73" w:rsidP="00C661E9">
            <w:pPr>
              <w:rPr>
                <w:bCs/>
                <w:sz w:val="18"/>
                <w:szCs w:val="18"/>
              </w:rPr>
            </w:pPr>
            <w:r w:rsidRPr="00311BDD">
              <w:rPr>
                <w:bCs/>
                <w:sz w:val="18"/>
                <w:szCs w:val="18"/>
              </w:rPr>
              <w:t xml:space="preserve">Kompetencje </w:t>
            </w:r>
            <w:r w:rsidR="00C661E9">
              <w:rPr>
                <w:bCs/>
                <w:sz w:val="18"/>
                <w:szCs w:val="18"/>
              </w:rPr>
              <w:t>–</w:t>
            </w:r>
            <w:r w:rsidRPr="00311BDD">
              <w:rPr>
                <w:bCs/>
                <w:sz w:val="18"/>
                <w:szCs w:val="18"/>
              </w:rPr>
              <w:t xml:space="preserve"> </w:t>
            </w:r>
            <w:r w:rsidR="00C661E9">
              <w:rPr>
                <w:bCs/>
                <w:sz w:val="18"/>
                <w:szCs w:val="18"/>
              </w:rPr>
              <w:t>K_01</w:t>
            </w:r>
          </w:p>
        </w:tc>
        <w:tc>
          <w:tcPr>
            <w:tcW w:w="4370" w:type="dxa"/>
          </w:tcPr>
          <w:p w:rsidR="00CA3A73" w:rsidRPr="00FB1C10" w:rsidRDefault="00C661E9" w:rsidP="00311BDD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</w:t>
            </w:r>
            <w:r w:rsidRPr="00040F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est otwarty na nowe rozwiązania i gotowy do wyznaczania priorytetów działań oraz odpowiedniego ich realizowania</w:t>
            </w:r>
          </w:p>
        </w:tc>
        <w:tc>
          <w:tcPr>
            <w:tcW w:w="3001" w:type="dxa"/>
          </w:tcPr>
          <w:p w:rsidR="00CA3A73" w:rsidRPr="00C661E9" w:rsidRDefault="00CA3A73" w:rsidP="00C661E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C661E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  <w:r w:rsidR="00C661E9" w:rsidRPr="00C661E9">
              <w:rPr>
                <w:rFonts w:ascii="Times New Roman" w:hAnsi="Times New Roman" w:cs="Times New Roman"/>
                <w:bCs/>
                <w:sz w:val="16"/>
                <w:szCs w:val="18"/>
              </w:rPr>
              <w:t>_</w:t>
            </w:r>
            <w:r w:rsidRPr="00C661E9">
              <w:rPr>
                <w:rFonts w:ascii="Times New Roman" w:hAnsi="Times New Roman" w:cs="Times New Roman"/>
                <w:bCs/>
                <w:sz w:val="16"/>
                <w:szCs w:val="18"/>
              </w:rPr>
              <w:t>K01</w:t>
            </w:r>
          </w:p>
        </w:tc>
        <w:tc>
          <w:tcPr>
            <w:tcW w:w="1381" w:type="dxa"/>
          </w:tcPr>
          <w:p w:rsidR="00CA3A73" w:rsidRPr="00C661E9" w:rsidRDefault="00CA3A73" w:rsidP="00311BD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C661E9">
              <w:rPr>
                <w:rFonts w:ascii="Times New Roman" w:hAnsi="Times New Roman" w:cs="Times New Roman"/>
                <w:bCs/>
                <w:sz w:val="16"/>
                <w:szCs w:val="18"/>
              </w:rPr>
              <w:t>3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4F775A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3 – znaczący i szczegółowy</w:t>
      </w:r>
      <w:r w:rsidR="0093211F"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</w:p>
    <w:p w:rsidR="0093211F" w:rsidRPr="0093211F" w:rsidRDefault="004F775A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2 – częściowy</w:t>
      </w:r>
    </w:p>
    <w:p w:rsidR="0093211F" w:rsidRPr="0093211F" w:rsidRDefault="004F775A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1 – podstawowy</w:t>
      </w:r>
    </w:p>
    <w:p w:rsidR="005C4ECF" w:rsidRDefault="005C4ECF" w:rsidP="000C4232">
      <w:pPr>
        <w:rPr>
          <w:b/>
          <w:color w:val="FF0000"/>
          <w:sz w:val="16"/>
          <w:szCs w:val="16"/>
        </w:rPr>
      </w:pPr>
    </w:p>
    <w:sectPr w:rsidR="005C4EC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F64C9C"/>
    <w:multiLevelType w:val="hybridMultilevel"/>
    <w:tmpl w:val="78667414"/>
    <w:lvl w:ilvl="0" w:tplc="9370A4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2442A"/>
    <w:rsid w:val="00040F61"/>
    <w:rsid w:val="000834BC"/>
    <w:rsid w:val="000C4232"/>
    <w:rsid w:val="000D56E4"/>
    <w:rsid w:val="000F27DB"/>
    <w:rsid w:val="000F547E"/>
    <w:rsid w:val="000F7314"/>
    <w:rsid w:val="00142E6C"/>
    <w:rsid w:val="00156D36"/>
    <w:rsid w:val="001612D5"/>
    <w:rsid w:val="00176B3E"/>
    <w:rsid w:val="00187506"/>
    <w:rsid w:val="00197332"/>
    <w:rsid w:val="001B1508"/>
    <w:rsid w:val="001F467B"/>
    <w:rsid w:val="00207BBF"/>
    <w:rsid w:val="00236AD9"/>
    <w:rsid w:val="00246B65"/>
    <w:rsid w:val="002543F0"/>
    <w:rsid w:val="00261C92"/>
    <w:rsid w:val="002A4232"/>
    <w:rsid w:val="002B2AFB"/>
    <w:rsid w:val="002B35BD"/>
    <w:rsid w:val="002E633E"/>
    <w:rsid w:val="002E6AC0"/>
    <w:rsid w:val="002F27B7"/>
    <w:rsid w:val="002F58C9"/>
    <w:rsid w:val="00306D7B"/>
    <w:rsid w:val="00311BDD"/>
    <w:rsid w:val="00323923"/>
    <w:rsid w:val="00341D25"/>
    <w:rsid w:val="00365EDA"/>
    <w:rsid w:val="003A1A14"/>
    <w:rsid w:val="003B4FA1"/>
    <w:rsid w:val="003B680D"/>
    <w:rsid w:val="003E4D93"/>
    <w:rsid w:val="003F5EC9"/>
    <w:rsid w:val="00420BDB"/>
    <w:rsid w:val="00490C1C"/>
    <w:rsid w:val="004939E1"/>
    <w:rsid w:val="004944EE"/>
    <w:rsid w:val="004B1119"/>
    <w:rsid w:val="004D6834"/>
    <w:rsid w:val="004F5E22"/>
    <w:rsid w:val="004F775A"/>
    <w:rsid w:val="00516710"/>
    <w:rsid w:val="005214C4"/>
    <w:rsid w:val="005358CC"/>
    <w:rsid w:val="00536801"/>
    <w:rsid w:val="00560F9A"/>
    <w:rsid w:val="00575DF0"/>
    <w:rsid w:val="005A5C09"/>
    <w:rsid w:val="005C4ECF"/>
    <w:rsid w:val="005E532D"/>
    <w:rsid w:val="00613162"/>
    <w:rsid w:val="006625F0"/>
    <w:rsid w:val="00682C87"/>
    <w:rsid w:val="006A611E"/>
    <w:rsid w:val="006A6E5C"/>
    <w:rsid w:val="006C766B"/>
    <w:rsid w:val="006D185F"/>
    <w:rsid w:val="006D1977"/>
    <w:rsid w:val="0072568B"/>
    <w:rsid w:val="007656B9"/>
    <w:rsid w:val="007829B2"/>
    <w:rsid w:val="007A316E"/>
    <w:rsid w:val="007B7791"/>
    <w:rsid w:val="007C06C6"/>
    <w:rsid w:val="007C72F7"/>
    <w:rsid w:val="007D1775"/>
    <w:rsid w:val="007D736E"/>
    <w:rsid w:val="00812D1B"/>
    <w:rsid w:val="00841FC3"/>
    <w:rsid w:val="00865FF1"/>
    <w:rsid w:val="00895BEB"/>
    <w:rsid w:val="008A4BF5"/>
    <w:rsid w:val="008E31D8"/>
    <w:rsid w:val="008F7E6F"/>
    <w:rsid w:val="00902168"/>
    <w:rsid w:val="0093211F"/>
    <w:rsid w:val="00952126"/>
    <w:rsid w:val="009556F1"/>
    <w:rsid w:val="00965A2D"/>
    <w:rsid w:val="00966E0B"/>
    <w:rsid w:val="00985D70"/>
    <w:rsid w:val="00995CA4"/>
    <w:rsid w:val="009D5A4F"/>
    <w:rsid w:val="009F42F0"/>
    <w:rsid w:val="00A02114"/>
    <w:rsid w:val="00A31340"/>
    <w:rsid w:val="00A314F8"/>
    <w:rsid w:val="00A43564"/>
    <w:rsid w:val="00A546B0"/>
    <w:rsid w:val="00A574B3"/>
    <w:rsid w:val="00A65063"/>
    <w:rsid w:val="00A65DB9"/>
    <w:rsid w:val="00A925DB"/>
    <w:rsid w:val="00AA366F"/>
    <w:rsid w:val="00AA7418"/>
    <w:rsid w:val="00AC18DC"/>
    <w:rsid w:val="00AD51C1"/>
    <w:rsid w:val="00AD6075"/>
    <w:rsid w:val="00B2721F"/>
    <w:rsid w:val="00B32F1F"/>
    <w:rsid w:val="00B879D6"/>
    <w:rsid w:val="00BA34D7"/>
    <w:rsid w:val="00BA5C6D"/>
    <w:rsid w:val="00BD340D"/>
    <w:rsid w:val="00BE0361"/>
    <w:rsid w:val="00BF3673"/>
    <w:rsid w:val="00C41E1F"/>
    <w:rsid w:val="00C47DF9"/>
    <w:rsid w:val="00C64416"/>
    <w:rsid w:val="00C661E9"/>
    <w:rsid w:val="00C66326"/>
    <w:rsid w:val="00C76FB0"/>
    <w:rsid w:val="00C86D06"/>
    <w:rsid w:val="00C87504"/>
    <w:rsid w:val="00C92FC1"/>
    <w:rsid w:val="00CA3A73"/>
    <w:rsid w:val="00CD0414"/>
    <w:rsid w:val="00D06FEE"/>
    <w:rsid w:val="00D077D3"/>
    <w:rsid w:val="00D275FF"/>
    <w:rsid w:val="00D33288"/>
    <w:rsid w:val="00D64E0A"/>
    <w:rsid w:val="00D8217E"/>
    <w:rsid w:val="00D840E8"/>
    <w:rsid w:val="00DA1D77"/>
    <w:rsid w:val="00DA4996"/>
    <w:rsid w:val="00DB2BDC"/>
    <w:rsid w:val="00DD5BC7"/>
    <w:rsid w:val="00DE6C48"/>
    <w:rsid w:val="00DE7379"/>
    <w:rsid w:val="00DE7EE9"/>
    <w:rsid w:val="00E50189"/>
    <w:rsid w:val="00E85CC5"/>
    <w:rsid w:val="00E909B3"/>
    <w:rsid w:val="00E963A0"/>
    <w:rsid w:val="00EB445C"/>
    <w:rsid w:val="00ED11F9"/>
    <w:rsid w:val="00ED37E5"/>
    <w:rsid w:val="00ED54DF"/>
    <w:rsid w:val="00F16102"/>
    <w:rsid w:val="00F45D98"/>
    <w:rsid w:val="00F81149"/>
    <w:rsid w:val="00F87CE0"/>
    <w:rsid w:val="00F9334F"/>
    <w:rsid w:val="00FA40D6"/>
    <w:rsid w:val="00FB7F68"/>
    <w:rsid w:val="00FE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D185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8E31D8"/>
    <w:pPr>
      <w:spacing w:line="240" w:lineRule="auto"/>
      <w:ind w:firstLine="708"/>
    </w:pPr>
    <w:rPr>
      <w:rFonts w:ascii="Arial" w:eastAsia="Times New Roman" w:hAnsi="Arial" w:cs="Arial"/>
      <w:sz w:val="16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E31D8"/>
    <w:rPr>
      <w:rFonts w:ascii="Arial" w:eastAsia="Times New Roman" w:hAnsi="Arial" w:cs="Arial"/>
      <w:sz w:val="1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895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user</cp:lastModifiedBy>
  <cp:revision>5</cp:revision>
  <cp:lastPrinted>2019-04-26T11:35:00Z</cp:lastPrinted>
  <dcterms:created xsi:type="dcterms:W3CDTF">2019-05-10T13:15:00Z</dcterms:created>
  <dcterms:modified xsi:type="dcterms:W3CDTF">2019-05-16T09:36:00Z</dcterms:modified>
</cp:coreProperties>
</file>