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B56A7" w:rsidRDefault="00115D21" w:rsidP="00FB56A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Integrowana ochrona roślin ogrodniczych przed szkodnikami </w:t>
            </w:r>
            <w:r w:rsidRPr="00FB56A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3169B" w:rsidRPr="00FB56A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12D6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0C75AD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737F74" w:rsidRDefault="003C7753" w:rsidP="00FB5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Integrated pest management of horticulture crops against pests I</w:t>
            </w:r>
            <w:r w:rsidR="00245E78" w:rsidRPr="000C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C7753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753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37F7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37F7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268A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64416"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F268AB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45E78">
              <w:rPr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43AEA" w:rsidP="00743AEA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F6CB3" w:rsidP="00BF6CB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</w:t>
            </w:r>
            <w:r w:rsidR="001B1508">
              <w:rPr>
                <w:b/>
                <w:sz w:val="16"/>
                <w:szCs w:val="16"/>
              </w:rPr>
              <w:t>S-</w:t>
            </w:r>
            <w:r w:rsidR="00245E78">
              <w:rPr>
                <w:b/>
                <w:sz w:val="16"/>
                <w:szCs w:val="16"/>
              </w:rPr>
              <w:t>4</w:t>
            </w:r>
            <w:r w:rsidR="00743AEA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35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35366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366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F6CB3" w:rsidRDefault="000E09F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D340D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racownicy Samodzielnego Zakładu Entomologii Stosowanej (SZES)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F6CB3" w:rsidRDefault="00BD340D" w:rsidP="00CE73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</w:t>
            </w:r>
            <w:r w:rsidR="00CE73FB">
              <w:rPr>
                <w:rFonts w:ascii="Times New Roman" w:hAnsi="Times New Roman" w:cs="Times New Roman"/>
                <w:bCs/>
                <w:sz w:val="16"/>
                <w:szCs w:val="16"/>
              </w:rPr>
              <w:t>ogii i Architektury Krajobrazu; Samodzielny Zakład Entomologii Stosowanej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F6CB3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FB56A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6E" w:rsidRPr="00732E6E" w:rsidRDefault="000E09F2" w:rsidP="00BF6C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0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5D33B8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3C7753" w:rsidRPr="003C7753">
              <w:rPr>
                <w:rFonts w:ascii="Times New Roman" w:hAnsi="Times New Roman" w:cs="Times New Roman"/>
                <w:bCs/>
                <w:sz w:val="16"/>
                <w:szCs w:val="16"/>
              </w:rPr>
              <w:t>apoznanie</w:t>
            </w:r>
            <w:r w:rsidR="005D33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z problemami ochrony roślin ogrodniczych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 najważniejszymi </w:t>
            </w:r>
            <w:proofErr w:type="gramStart"/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szkodnikami</w:t>
            </w:r>
            <w:r w:rsidR="003C7753" w:rsidRPr="003C7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upraw</w:t>
            </w:r>
            <w:proofErr w:type="gramEnd"/>
            <w:r w:rsidR="003C7753" w:rsidRPr="003C7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warzywnych</w:t>
            </w:r>
            <w:r w:rsidR="003C7753" w:rsidRPr="003C7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uprawianych pod osłonami i w gruncie. Student poznaje systematykę, biologię i szkodliwość roślinożernych owadów i roztoczy atakujących rośliny 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warzywne i wybrane rośliny lecznicze </w:t>
            </w:r>
            <w:r w:rsidR="003C7753" w:rsidRPr="003C7753">
              <w:rPr>
                <w:rFonts w:ascii="Times New Roman" w:hAnsi="Times New Roman" w:cs="Times New Roman"/>
                <w:bCs/>
                <w:sz w:val="16"/>
                <w:szCs w:val="16"/>
              </w:rPr>
              <w:t>oraz zdobywa informacje na temat różnych metod ich zwalczania.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2E6E" w:rsidRPr="00732E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wykładów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1 – 5. Integrowana ochrona warzyw uprawianych pod osłonami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ogór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ek, pomidor, papryka, oberżyna) przed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przędziork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wciornastk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mszyc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mączlik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ami, miniarkami, ziemiórkami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6 – 12. Integrowana ochrona warzyw uprawianych w 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gruncie (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cebulowe, kapustne, selerowate, szarłatowate, </w:t>
            </w:r>
            <w:proofErr w:type="spellStart"/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bobowate</w:t>
            </w:r>
            <w:proofErr w:type="spellEnd"/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dyniowate, psiankowate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przed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nicieni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stawonog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glebowy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mi,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roztocz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wciornastk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ami,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mszyc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chrząszcz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ami,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motyl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muchów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>kami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. 13 – 15. Najważniejsze szkodniki roślin leczniczych i możliwości ich zwalczania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32E6E" w:rsidRPr="00732E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ćwiczeń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Systematyka, biologia i szkodliwość, terminy lustracji, monitoring, progi zagrożenia, metody zwalczania szkodników upraw warzywnych: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Pod osłonami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nicieni, przędziorków, wciornastków, mszyc, mączlików, miniarek, </w:t>
            </w:r>
            <w:proofErr w:type="gramStart"/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ziemiórek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szkodników</w:t>
            </w:r>
            <w:proofErr w:type="gramEnd"/>
            <w:r w:rsidR="00732E6E"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ogórka, pomidora, papryki i oberżyny. </w:t>
            </w:r>
          </w:p>
          <w:p w:rsidR="00732E6E" w:rsidRPr="00732E6E" w:rsidRDefault="00732E6E" w:rsidP="00BF6C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W gruncie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nicieni i stawonogów glebowych, roztoczy, wciornastków, mszyc, chrząszczy, motyli, </w:t>
            </w:r>
            <w:proofErr w:type="gramStart"/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muchówek</w:t>
            </w:r>
            <w:r w:rsidR="006416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szkodników</w:t>
            </w:r>
            <w:proofErr w:type="gramEnd"/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cebulowych, kapustnych, selerowatych, szarłatowatych, </w:t>
            </w:r>
            <w:proofErr w:type="spellStart"/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bobowatych</w:t>
            </w:r>
            <w:proofErr w:type="spellEnd"/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>, dyniowatych i psiankowatych.</w:t>
            </w:r>
          </w:p>
          <w:p w:rsidR="009D170D" w:rsidRPr="00BD340D" w:rsidRDefault="00732E6E" w:rsidP="000210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E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Systematyka, biologia i szkodliwość, terminy lustracji, monitoring, metody zwalczania szkodników </w:t>
            </w:r>
            <w:r w:rsidR="0002101B">
              <w:rPr>
                <w:rFonts w:ascii="Times New Roman" w:hAnsi="Times New Roman" w:cs="Times New Roman"/>
                <w:bCs/>
                <w:sz w:val="16"/>
                <w:szCs w:val="16"/>
              </w:rPr>
              <w:t>wybranych gatunków ziół.</w:t>
            </w:r>
          </w:p>
        </w:tc>
      </w:tr>
      <w:tr w:rsidR="00C87504" w:rsidRPr="00E31A6B" w:rsidTr="00CE2813">
        <w:trPr>
          <w:trHeight w:val="4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40D" w:rsidRPr="00BF6CB3" w:rsidRDefault="00FB56A7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BD340D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</w:t>
            </w:r>
            <w:proofErr w:type="gramEnd"/>
            <w:r w:rsidR="00BD340D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  </w:t>
            </w:r>
            <w:r w:rsidR="003C7753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BD340D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C87504" w:rsidRPr="00BF6CB3" w:rsidRDefault="00BD340D" w:rsidP="00FB56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FB56A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C7753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</w:t>
            </w:r>
            <w:proofErr w:type="gramEnd"/>
            <w:r w:rsidR="003C7753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45</w:t>
            </w:r>
            <w:r w:rsidRPr="00BF6C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C06C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8CF" w:rsidRPr="00BF6CB3" w:rsidRDefault="00FA18CF" w:rsidP="00FA18C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Wykład - prezentacje multimedia</w:t>
            </w:r>
            <w:r w:rsidR="00D51327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lne, dyskusje</w:t>
            </w: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D51327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- prezentacje </w:t>
            </w:r>
            <w:proofErr w:type="gramStart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multimedialne, </w:t>
            </w:r>
            <w:r w:rsidRPr="00BF6CB3">
              <w:rPr>
                <w:rFonts w:ascii="Times New Roman" w:hAnsi="Times New Roman" w:cs="Times New Roman"/>
              </w:rPr>
              <w:t xml:space="preserve"> </w:t>
            </w: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proofErr w:type="gramEnd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okazami żywymi, </w:t>
            </w:r>
            <w:proofErr w:type="spellStart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gablotowymi</w:t>
            </w:r>
            <w:proofErr w:type="spellEnd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, zakonserwowanymi w alkoholu, uzupełnianie zadań w zeszytach do ćwiczeń,</w:t>
            </w:r>
            <w:r w:rsidR="002B4B06" w:rsidRPr="00BF6CB3">
              <w:rPr>
                <w:rFonts w:ascii="Times New Roman" w:hAnsi="Times New Roman" w:cs="Times New Roman"/>
              </w:rPr>
              <w:t xml:space="preserve"> </w:t>
            </w:r>
            <w:r w:rsidR="002B4B06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indywidualna praca z mikroskopem oraz praca w grupach 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F6CB3" w:rsidRDefault="003973E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sz w:val="16"/>
                <w:szCs w:val="16"/>
              </w:rPr>
              <w:t>Podstawy ochrony roślin przed patogenami i szkodnikami</w:t>
            </w:r>
          </w:p>
        </w:tc>
      </w:tr>
      <w:tr w:rsidR="00C87504" w:rsidTr="00FB56A7">
        <w:trPr>
          <w:trHeight w:val="214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F7262E" w:rsidRDefault="00C87504" w:rsidP="00FB56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6289A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4939E1" w:rsidRPr="00F726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 – z</w:t>
            </w:r>
            <w:r w:rsidR="003973EB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na i rozumie możliwości wykorzystania poszczególnych metod ochrony roślin </w:t>
            </w:r>
            <w:r w:rsidR="00732E6E" w:rsidRPr="00F7262E">
              <w:rPr>
                <w:rFonts w:ascii="Times New Roman" w:hAnsi="Times New Roman" w:cs="Times New Roman"/>
                <w:sz w:val="16"/>
                <w:szCs w:val="16"/>
              </w:rPr>
              <w:t>warzywnych uprawianych pod osłonami i w gruncie</w:t>
            </w:r>
            <w:r w:rsidR="0036289A" w:rsidRPr="00F7262E">
              <w:rPr>
                <w:rFonts w:ascii="Times New Roman" w:hAnsi="Times New Roman" w:cs="Times New Roman"/>
              </w:rPr>
              <w:t xml:space="preserve"> </w:t>
            </w:r>
            <w:r w:rsidR="0036289A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przed szkodnikami </w:t>
            </w:r>
          </w:p>
          <w:p w:rsidR="00D8217E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>W_02 – m</w:t>
            </w:r>
            <w:r w:rsidR="00BF3673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3973EB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wiedzę na temat najważniejszych gatunków szkodników roślin </w:t>
            </w:r>
            <w:r w:rsidR="00732E6E" w:rsidRPr="00F7262E">
              <w:rPr>
                <w:rFonts w:ascii="Times New Roman" w:hAnsi="Times New Roman" w:cs="Times New Roman"/>
                <w:sz w:val="16"/>
                <w:szCs w:val="16"/>
              </w:rPr>
              <w:t>warzywnych uprawianych pod osłonami i w gruncie</w:t>
            </w:r>
            <w:r w:rsidR="003973EB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 oraz roli wrogów naturalnych w </w:t>
            </w:r>
            <w:r w:rsidR="00737F74" w:rsidRPr="00F7262E">
              <w:rPr>
                <w:rFonts w:ascii="Times New Roman" w:hAnsi="Times New Roman" w:cs="Times New Roman"/>
                <w:sz w:val="16"/>
                <w:szCs w:val="16"/>
              </w:rPr>
              <w:t>ograniczaniu ich liczebności</w:t>
            </w:r>
          </w:p>
        </w:tc>
        <w:tc>
          <w:tcPr>
            <w:tcW w:w="2680" w:type="dxa"/>
            <w:gridSpan w:val="3"/>
          </w:tcPr>
          <w:p w:rsidR="00C87504" w:rsidRPr="00F7262E" w:rsidRDefault="00C87504" w:rsidP="00FB56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973EB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U_01 – p</w:t>
            </w:r>
            <w:r w:rsidR="00197332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</w:t>
            </w:r>
            <w:r w:rsidR="003973EB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rozpoznać najważniejsze szkodniki upraw </w:t>
            </w:r>
            <w:r w:rsidR="00CC5DD3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warzywnych </w:t>
            </w:r>
            <w:r w:rsidR="003973EB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uszkodzenia wywołane ich żerowaniem </w:t>
            </w:r>
          </w:p>
          <w:p w:rsidR="00197332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U_02 – p</w:t>
            </w:r>
            <w:r w:rsidR="00197332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wykorzystać wiedzę na temat </w:t>
            </w:r>
            <w:r w:rsidR="0036289A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nowoczesnych metod</w:t>
            </w:r>
            <w:r w:rsidR="00197332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zwalczania szkodników</w:t>
            </w:r>
          </w:p>
          <w:p w:rsidR="00D8217E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U_03 – p</w:t>
            </w:r>
            <w:r w:rsidR="0036289A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indywidualnie i w zespole</w:t>
            </w:r>
          </w:p>
        </w:tc>
        <w:tc>
          <w:tcPr>
            <w:tcW w:w="2268" w:type="dxa"/>
            <w:gridSpan w:val="4"/>
          </w:tcPr>
          <w:p w:rsidR="00C87504" w:rsidRPr="00F7262E" w:rsidRDefault="00C87504" w:rsidP="00FB56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A34D7" w:rsidRPr="00F7262E" w:rsidRDefault="00FB56A7" w:rsidP="00FB56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sz w:val="16"/>
                <w:szCs w:val="16"/>
              </w:rPr>
              <w:t>K_01 – j</w:t>
            </w:r>
            <w:r w:rsidR="00AA366F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="00BA34D7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stosowania zasad </w:t>
            </w:r>
            <w:r w:rsidR="006A4372" w:rsidRPr="00F7262E">
              <w:rPr>
                <w:rFonts w:ascii="Times New Roman" w:hAnsi="Times New Roman" w:cs="Times New Roman"/>
                <w:sz w:val="16"/>
                <w:szCs w:val="16"/>
              </w:rPr>
              <w:t>IPM w</w:t>
            </w:r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ochronie roślin przed szkodnikami </w:t>
            </w:r>
            <w:r w:rsidR="00D8217E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i jest otwarty na nowe technologie</w:t>
            </w:r>
          </w:p>
          <w:p w:rsidR="004939E1" w:rsidRPr="00F7262E" w:rsidRDefault="00FB56A7" w:rsidP="003A44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K_02 – j</w:t>
            </w:r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świadomy </w:t>
            </w:r>
            <w:proofErr w:type="gramStart"/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korzyści </w:t>
            </w:r>
            <w:r w:rsidR="00BA34D7" w:rsidRPr="00F7262E">
              <w:rPr>
                <w:rFonts w:ascii="Times New Roman" w:hAnsi="Times New Roman" w:cs="Times New Roman"/>
              </w:rPr>
              <w:t xml:space="preserve"> </w:t>
            </w:r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dla</w:t>
            </w:r>
            <w:proofErr w:type="gramEnd"/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człowieka i środowiska wynikających z</w:t>
            </w:r>
            <w:r w:rsidR="003A44A1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BA34D7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stosowania</w:t>
            </w:r>
            <w:r w:rsidR="003A44A1" w:rsidRPr="00F726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A44A1" w:rsidRPr="00F7262E">
              <w:rPr>
                <w:rFonts w:ascii="Times New Roman" w:hAnsi="Times New Roman" w:cs="Times New Roman"/>
                <w:sz w:val="16"/>
                <w:szCs w:val="16"/>
              </w:rPr>
              <w:t xml:space="preserve"> zasad IPM</w:t>
            </w:r>
          </w:p>
        </w:tc>
      </w:tr>
      <w:tr w:rsidR="00C87504" w:rsidTr="00B96622">
        <w:trPr>
          <w:trHeight w:val="524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7F68C4" w:rsidRDefault="007F68C4" w:rsidP="007F68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CE73F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 – s</w:t>
            </w:r>
            <w:r w:rsidR="00B96622" w:rsidRPr="00BF6CB3">
              <w:rPr>
                <w:rFonts w:ascii="Times New Roman" w:hAnsi="Times New Roman" w:cs="Times New Roman"/>
                <w:sz w:val="16"/>
                <w:szCs w:val="16"/>
              </w:rPr>
              <w:t>prawdziany pisemne na zajęciach ćwiczeniowych</w:t>
            </w:r>
          </w:p>
          <w:p w:rsidR="007F68C4" w:rsidRDefault="007F68C4" w:rsidP="007F68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CE73F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U_01, K_01, K_02 – e</w:t>
            </w:r>
            <w:r w:rsidR="00B96622" w:rsidRPr="00BF6CB3">
              <w:rPr>
                <w:rFonts w:ascii="Times New Roman" w:hAnsi="Times New Roman" w:cs="Times New Roman"/>
                <w:sz w:val="16"/>
                <w:szCs w:val="16"/>
              </w:rPr>
              <w:t>gzamin pisemny</w:t>
            </w:r>
          </w:p>
          <w:p w:rsidR="00C87504" w:rsidRPr="00BF6CB3" w:rsidRDefault="007F68C4" w:rsidP="007F68C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CE73F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W_01, W_02, U_02, U_03, K_01, K_02 – o</w:t>
            </w:r>
            <w:r w:rsidR="00B96622" w:rsidRPr="00BF6CB3">
              <w:rPr>
                <w:rFonts w:ascii="Times New Roman" w:hAnsi="Times New Roman" w:cs="Times New Roman"/>
                <w:sz w:val="16"/>
                <w:szCs w:val="16"/>
              </w:rPr>
              <w:t xml:space="preserve">cena aktywności na zajęciach ćwiczeniowych (zeszyt, dyskusja na zadany </w:t>
            </w:r>
            <w:proofErr w:type="gramStart"/>
            <w:r w:rsidR="00B96622" w:rsidRPr="00BF6CB3">
              <w:rPr>
                <w:rFonts w:ascii="Times New Roman" w:hAnsi="Times New Roman" w:cs="Times New Roman"/>
                <w:sz w:val="16"/>
                <w:szCs w:val="16"/>
              </w:rPr>
              <w:t>temat )</w:t>
            </w:r>
            <w:proofErr w:type="gramEnd"/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BF6CB3" w:rsidRDefault="00AA366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Ocena z kolokwiów cząstkowych; Ocena z egzaminu pisemnego; Ocena aktywności na ćwiczeniach</w:t>
            </w:r>
            <w:r w:rsidR="00845D0F"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, w tym rozpoznawanie szkodników i objawów ich żerowania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BF6CB3" w:rsidRDefault="00DB2BD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składają się: 1) oceny z kolokwiów; 2) ocena z egzaminu pisemnego; 3) ocena aktywności podczas ćwiczeń. Za każdy z elementów można maksymalnie uzyskać 100 punków. Waga każdego z elementów: 1) – 40%; 2) - 50%; 3) – 10%. Warunkiem zaliczenia przedmiotu jest uzyskanie z elementu 1 i 2 min. 51% (51) punktów. Warunkiem zaliczenia przedmiotu jest uzyskanie minimum 51% punktów uwzględniających wszystkie elementy.  Do wyliczenia oceny końcowej stosowana jest następująca skala: 100-91% </w:t>
            </w:r>
            <w:proofErr w:type="gramStart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pkt - 5,0;  90-81% pkt</w:t>
            </w:r>
            <w:proofErr w:type="gramEnd"/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- 4,5;  80-71% pkt -  4,0; 70-61% pkt -  3,5; 60-51% pkt -  3,0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BF6CB3" w:rsidRDefault="00DB2BD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6CB3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845D0F" w:rsidRDefault="00C36F6E" w:rsidP="00DB2B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F6CB3">
              <w:rPr>
                <w:rFonts w:ascii="Times New Roman" w:hAnsi="Times New Roman" w:cs="Times New Roman"/>
                <w:sz w:val="16"/>
                <w:szCs w:val="16"/>
              </w:rPr>
              <w:t>Boczek J., Lewandowski M. 2015</w:t>
            </w:r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. Nauka o szkodnik</w:t>
            </w:r>
            <w:r w:rsidRPr="00BF6CB3">
              <w:rPr>
                <w:rFonts w:ascii="Times New Roman" w:hAnsi="Times New Roman" w:cs="Times New Roman"/>
                <w:sz w:val="16"/>
                <w:szCs w:val="16"/>
              </w:rPr>
              <w:t>ach roślin uprawnych. Wydanie V</w:t>
            </w:r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 xml:space="preserve">, Wydawnictwo SGGW, Warszawa, 2. Boczek J. </w:t>
            </w:r>
            <w:proofErr w:type="spellStart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 1992. 3.Tomczyk A., </w:t>
            </w:r>
            <w:proofErr w:type="spellStart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Kropczyńska</w:t>
            </w:r>
            <w:proofErr w:type="spellEnd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 xml:space="preserve"> D.1995. Szkodniki drzew owocowych. Fundacja Rozwój SGGW, 80s. 4. Metodyki integrowanej ochrony roślin. Ministerstwo Rolnictwa i Rozwoju Wsi. Internet.  5. Dominik A., </w:t>
            </w:r>
            <w:proofErr w:type="spellStart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Schönthaler</w:t>
            </w:r>
            <w:proofErr w:type="spellEnd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 xml:space="preserve"> J. 2012. Integrowana ochrona roślin w gospodarstwie. Poradnik praktyczny. Centrum Doradztwa Rolniczego w Brwinowie, oddział w Radomiu. 70</w:t>
            </w:r>
            <w:proofErr w:type="gramStart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.6. Kupczak K. (redaktor pracy zbiorowej). 2014. Zalecenia ochrony roślin ozdobnych Plant Press. Hasło Ogrodnicze. 120</w:t>
            </w:r>
            <w:proofErr w:type="gramStart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 w:rsidR="00845D0F" w:rsidRPr="00BF6C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9C4E15" w:rsidRDefault="009C4E15" w:rsidP="00ED11F9">
      <w:pPr>
        <w:rPr>
          <w:sz w:val="16"/>
        </w:rPr>
      </w:pPr>
    </w:p>
    <w:p w:rsidR="00ED11F9" w:rsidRPr="00845D0F" w:rsidRDefault="00ED11F9" w:rsidP="00ED11F9">
      <w:pPr>
        <w:rPr>
          <w:b/>
          <w:sz w:val="16"/>
          <w:szCs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DB2BDC" w:rsidRPr="00DB2BDC" w:rsidRDefault="00C36F6E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B56A7">
              <w:rPr>
                <w:b/>
                <w:bCs/>
                <w:sz w:val="18"/>
                <w:szCs w:val="18"/>
              </w:rPr>
              <w:t>0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  <w:p w:rsidR="00ED11F9" w:rsidRPr="00A87261" w:rsidRDefault="00ED11F9" w:rsidP="00DB2B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36F6E" w:rsidP="00FB56A7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</w:t>
            </w:r>
            <w:r w:rsidR="00FB56A7">
              <w:rPr>
                <w:b/>
                <w:bCs/>
                <w:sz w:val="18"/>
                <w:szCs w:val="18"/>
              </w:rPr>
              <w:t>6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F6CB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FB56A7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Wiedza – W_01</w:t>
            </w:r>
          </w:p>
        </w:tc>
        <w:tc>
          <w:tcPr>
            <w:tcW w:w="4370" w:type="dxa"/>
          </w:tcPr>
          <w:p w:rsidR="00FB56A7" w:rsidRPr="00FB1C10" w:rsidRDefault="00FB56A7" w:rsidP="008454CD">
            <w:pPr>
              <w:rPr>
                <w:bCs/>
                <w:sz w:val="18"/>
                <w:szCs w:val="18"/>
              </w:rPr>
            </w:pPr>
            <w:r w:rsidRPr="008454CD">
              <w:rPr>
                <w:bCs/>
                <w:sz w:val="18"/>
                <w:szCs w:val="18"/>
              </w:rPr>
              <w:t xml:space="preserve">Zna i rozumie możliwości wykorzystania poszczególnych metod ochrony roślin warzywnych uprawianych pod osłonami i w gruncie przed szkodnikami 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Wiedza - W_02</w:t>
            </w:r>
          </w:p>
        </w:tc>
        <w:tc>
          <w:tcPr>
            <w:tcW w:w="4370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 w:rsidRPr="008454CD">
              <w:rPr>
                <w:bCs/>
                <w:sz w:val="18"/>
                <w:szCs w:val="18"/>
              </w:rPr>
              <w:t>Ma wiedzę na temat najważniejszych gatunków szkodników roślin warzywnych uprawianych pod osłonami i w gruncie oraz roli wrogów naturalnych w ograniczaniu ich liczebności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Umiejętności - U_01</w:t>
            </w:r>
          </w:p>
        </w:tc>
        <w:tc>
          <w:tcPr>
            <w:tcW w:w="4370" w:type="dxa"/>
          </w:tcPr>
          <w:p w:rsidR="00FB56A7" w:rsidRPr="00FB1C10" w:rsidRDefault="00FB56A7" w:rsidP="00952126">
            <w:pPr>
              <w:rPr>
                <w:bCs/>
                <w:sz w:val="18"/>
                <w:szCs w:val="18"/>
              </w:rPr>
            </w:pPr>
            <w:r w:rsidRPr="008454CD">
              <w:rPr>
                <w:bCs/>
                <w:sz w:val="18"/>
                <w:szCs w:val="18"/>
              </w:rPr>
              <w:t>Potrafi rozpoznać najważniejsze szkodniki upraw warzywnych oraz uszkodzenia wywołane ich żerowaniem</w:t>
            </w:r>
            <w:r>
              <w:rPr>
                <w:bCs/>
                <w:sz w:val="18"/>
                <w:szCs w:val="18"/>
              </w:rPr>
              <w:t xml:space="preserve"> oraz </w:t>
            </w:r>
            <w:r w:rsidRPr="008454CD">
              <w:rPr>
                <w:bCs/>
                <w:sz w:val="18"/>
                <w:szCs w:val="18"/>
              </w:rPr>
              <w:t>wykorzystać wiedzę na temat nowoczesnych metod zwalczania szkodników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K_U06; </w:t>
            </w:r>
            <w:r w:rsidRPr="008454CD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</w:t>
            </w:r>
            <w:r w:rsidRPr="008454CD">
              <w:rPr>
                <w:bCs/>
                <w:sz w:val="18"/>
                <w:szCs w:val="18"/>
              </w:rPr>
              <w:t>U04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3; 3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Umiejętności - U_02</w:t>
            </w:r>
          </w:p>
        </w:tc>
        <w:tc>
          <w:tcPr>
            <w:tcW w:w="4370" w:type="dxa"/>
          </w:tcPr>
          <w:p w:rsidR="00FB56A7" w:rsidRPr="00FB1C10" w:rsidRDefault="00FB56A7" w:rsidP="008454CD">
            <w:pPr>
              <w:rPr>
                <w:bCs/>
                <w:sz w:val="18"/>
                <w:szCs w:val="18"/>
              </w:rPr>
            </w:pPr>
            <w:r w:rsidRPr="008454CD">
              <w:rPr>
                <w:bCs/>
                <w:sz w:val="18"/>
                <w:szCs w:val="18"/>
              </w:rPr>
              <w:t>Potrafi pracować indywidualnie i w zespole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K_U11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Kompetencje - K_01</w:t>
            </w:r>
          </w:p>
        </w:tc>
        <w:tc>
          <w:tcPr>
            <w:tcW w:w="4370" w:type="dxa"/>
          </w:tcPr>
          <w:p w:rsidR="00FB56A7" w:rsidRPr="00FB1C10" w:rsidRDefault="00FB56A7" w:rsidP="00B32F1F">
            <w:pPr>
              <w:rPr>
                <w:bCs/>
                <w:sz w:val="18"/>
                <w:szCs w:val="18"/>
              </w:rPr>
            </w:pPr>
            <w:r w:rsidRPr="00B32F1F">
              <w:rPr>
                <w:bCs/>
                <w:sz w:val="18"/>
                <w:szCs w:val="18"/>
              </w:rPr>
              <w:t>Jest gotów do stosowania zasad integracji metod w och</w:t>
            </w:r>
            <w:r>
              <w:rPr>
                <w:bCs/>
                <w:sz w:val="18"/>
                <w:szCs w:val="18"/>
              </w:rPr>
              <w:t>ronie roślin przed szkodnikami i jest otwarty na nowe technologie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A7" w:rsidRPr="00FB1C10" w:rsidTr="00FB56A7">
        <w:tc>
          <w:tcPr>
            <w:tcW w:w="1740" w:type="dxa"/>
          </w:tcPr>
          <w:p w:rsidR="00FB56A7" w:rsidRPr="00135366" w:rsidRDefault="00FB56A7" w:rsidP="005175B7">
            <w:pPr>
              <w:rPr>
                <w:bCs/>
                <w:sz w:val="18"/>
                <w:szCs w:val="18"/>
              </w:rPr>
            </w:pPr>
            <w:r w:rsidRPr="00135366">
              <w:rPr>
                <w:bCs/>
                <w:sz w:val="18"/>
                <w:szCs w:val="18"/>
              </w:rPr>
              <w:t>Kompetencje - K_02</w:t>
            </w:r>
          </w:p>
        </w:tc>
        <w:tc>
          <w:tcPr>
            <w:tcW w:w="4370" w:type="dxa"/>
          </w:tcPr>
          <w:p w:rsidR="00FB56A7" w:rsidRDefault="003A44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</w:t>
            </w:r>
            <w:r w:rsidRPr="003A44A1">
              <w:rPr>
                <w:bCs/>
                <w:sz w:val="18"/>
                <w:szCs w:val="18"/>
              </w:rPr>
              <w:t xml:space="preserve">est świadomy </w:t>
            </w:r>
            <w:proofErr w:type="gramStart"/>
            <w:r w:rsidRPr="003A44A1">
              <w:rPr>
                <w:bCs/>
                <w:sz w:val="18"/>
                <w:szCs w:val="18"/>
              </w:rPr>
              <w:t>korzyści  dla</w:t>
            </w:r>
            <w:proofErr w:type="gramEnd"/>
            <w:r w:rsidRPr="003A44A1">
              <w:rPr>
                <w:bCs/>
                <w:sz w:val="18"/>
                <w:szCs w:val="18"/>
              </w:rPr>
              <w:t xml:space="preserve"> człowieka i środowiska wynikających ze stosowania  zasad IPM</w:t>
            </w:r>
          </w:p>
        </w:tc>
        <w:tc>
          <w:tcPr>
            <w:tcW w:w="3001" w:type="dxa"/>
          </w:tcPr>
          <w:p w:rsidR="00FB56A7" w:rsidRPr="00FB1C10" w:rsidRDefault="00FB56A7" w:rsidP="00FB56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FB56A7" w:rsidRPr="00FB1C10" w:rsidRDefault="00FB56A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9359A" w16cid:durableId="207DD83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2101B"/>
    <w:rsid w:val="000834BC"/>
    <w:rsid w:val="000C4232"/>
    <w:rsid w:val="000C75AD"/>
    <w:rsid w:val="000E09F2"/>
    <w:rsid w:val="000F27DB"/>
    <w:rsid w:val="000F547E"/>
    <w:rsid w:val="00115D21"/>
    <w:rsid w:val="00135366"/>
    <w:rsid w:val="00142E6C"/>
    <w:rsid w:val="001612D5"/>
    <w:rsid w:val="00197332"/>
    <w:rsid w:val="001B1508"/>
    <w:rsid w:val="00207BBF"/>
    <w:rsid w:val="00245E78"/>
    <w:rsid w:val="002B4B06"/>
    <w:rsid w:val="002F27B7"/>
    <w:rsid w:val="00306D7B"/>
    <w:rsid w:val="003204B6"/>
    <w:rsid w:val="00341D25"/>
    <w:rsid w:val="0036289A"/>
    <w:rsid w:val="00365EDA"/>
    <w:rsid w:val="003973EB"/>
    <w:rsid w:val="003A44A1"/>
    <w:rsid w:val="003B680D"/>
    <w:rsid w:val="003C7753"/>
    <w:rsid w:val="003F1EEC"/>
    <w:rsid w:val="00412D6C"/>
    <w:rsid w:val="004939E1"/>
    <w:rsid w:val="004B1119"/>
    <w:rsid w:val="004F775A"/>
    <w:rsid w:val="00516710"/>
    <w:rsid w:val="00536801"/>
    <w:rsid w:val="00552335"/>
    <w:rsid w:val="00575DF0"/>
    <w:rsid w:val="005C4ECF"/>
    <w:rsid w:val="005D33B8"/>
    <w:rsid w:val="00641620"/>
    <w:rsid w:val="006625F0"/>
    <w:rsid w:val="006A4372"/>
    <w:rsid w:val="006C766B"/>
    <w:rsid w:val="006D1977"/>
    <w:rsid w:val="0072568B"/>
    <w:rsid w:val="0073169B"/>
    <w:rsid w:val="00732E6E"/>
    <w:rsid w:val="00737F74"/>
    <w:rsid w:val="00743AEA"/>
    <w:rsid w:val="007C06C6"/>
    <w:rsid w:val="007D1775"/>
    <w:rsid w:val="007D736E"/>
    <w:rsid w:val="007F68C4"/>
    <w:rsid w:val="008454CD"/>
    <w:rsid w:val="00845D0F"/>
    <w:rsid w:val="00865FF1"/>
    <w:rsid w:val="00895BEB"/>
    <w:rsid w:val="008F7E6F"/>
    <w:rsid w:val="00902168"/>
    <w:rsid w:val="00914F5A"/>
    <w:rsid w:val="0093211F"/>
    <w:rsid w:val="00952126"/>
    <w:rsid w:val="00965A2D"/>
    <w:rsid w:val="00966E0B"/>
    <w:rsid w:val="00995CA4"/>
    <w:rsid w:val="009C4E15"/>
    <w:rsid w:val="009D170D"/>
    <w:rsid w:val="009F42F0"/>
    <w:rsid w:val="00A02114"/>
    <w:rsid w:val="00A03AB2"/>
    <w:rsid w:val="00A43564"/>
    <w:rsid w:val="00A65063"/>
    <w:rsid w:val="00A65DB9"/>
    <w:rsid w:val="00AA366F"/>
    <w:rsid w:val="00AD51C1"/>
    <w:rsid w:val="00B2721F"/>
    <w:rsid w:val="00B32F1F"/>
    <w:rsid w:val="00B879D6"/>
    <w:rsid w:val="00B96622"/>
    <w:rsid w:val="00BA34D7"/>
    <w:rsid w:val="00BD340D"/>
    <w:rsid w:val="00BF3673"/>
    <w:rsid w:val="00BF6CB3"/>
    <w:rsid w:val="00C36F6E"/>
    <w:rsid w:val="00C64416"/>
    <w:rsid w:val="00C87504"/>
    <w:rsid w:val="00CC5DD3"/>
    <w:rsid w:val="00CD0414"/>
    <w:rsid w:val="00CE2813"/>
    <w:rsid w:val="00CE73FB"/>
    <w:rsid w:val="00D06FEE"/>
    <w:rsid w:val="00D51327"/>
    <w:rsid w:val="00D8217E"/>
    <w:rsid w:val="00DA1D77"/>
    <w:rsid w:val="00DB2BDC"/>
    <w:rsid w:val="00DE6C48"/>
    <w:rsid w:val="00DE7379"/>
    <w:rsid w:val="00E133CA"/>
    <w:rsid w:val="00E323FC"/>
    <w:rsid w:val="00E85CC5"/>
    <w:rsid w:val="00ED11F9"/>
    <w:rsid w:val="00ED37E5"/>
    <w:rsid w:val="00ED54DF"/>
    <w:rsid w:val="00F268AB"/>
    <w:rsid w:val="00F7262E"/>
    <w:rsid w:val="00FA18CF"/>
    <w:rsid w:val="00FB56A7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13</cp:revision>
  <cp:lastPrinted>2019-04-26T11:35:00Z</cp:lastPrinted>
  <dcterms:created xsi:type="dcterms:W3CDTF">2019-05-08T20:36:00Z</dcterms:created>
  <dcterms:modified xsi:type="dcterms:W3CDTF">2019-05-27T10:24:00Z</dcterms:modified>
</cp:coreProperties>
</file>