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2"/>
        <w:gridCol w:w="1642"/>
        <w:gridCol w:w="2762"/>
        <w:gridCol w:w="1287"/>
        <w:gridCol w:w="101"/>
        <w:gridCol w:w="1251"/>
        <w:gridCol w:w="729"/>
        <w:gridCol w:w="1064"/>
        <w:gridCol w:w="1063"/>
      </w:tblGrid>
      <w:tr w:rsidR="00A71386">
        <w:trPr>
          <w:trHeight w:val="559"/>
        </w:trPr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71386" w:rsidRDefault="00A71386" w:rsidP="00A713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Rok akademicki: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71386" w:rsidRDefault="00A71386" w:rsidP="00A71386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2017/2018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71386" w:rsidRDefault="00A71386" w:rsidP="00A713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Grupa przedmiotów:</w:t>
            </w:r>
          </w:p>
        </w:tc>
        <w:tc>
          <w:tcPr>
            <w:tcW w:w="1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71386" w:rsidRDefault="00A71386" w:rsidP="00A713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podstawowe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71386" w:rsidRDefault="00A71386" w:rsidP="00A713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Numer katalogowy: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71386" w:rsidRDefault="007D60A0" w:rsidP="00A71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IO 05</w:t>
            </w:r>
            <w:bookmarkStart w:id="0" w:name="_GoBack"/>
            <w:bookmarkEnd w:id="0"/>
          </w:p>
        </w:tc>
      </w:tr>
      <w:tr w:rsidR="00AD6C76">
        <w:trPr>
          <w:trHeight w:val="113"/>
        </w:trPr>
        <w:tc>
          <w:tcPr>
            <w:tcW w:w="1134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D6C76" w:rsidRDefault="00AD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D6C76">
        <w:trPr>
          <w:trHeight w:val="405"/>
        </w:trPr>
        <w:tc>
          <w:tcPr>
            <w:tcW w:w="3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C76" w:rsidRDefault="000836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C0C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przedmiotu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  <w:r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  <w:tc>
          <w:tcPr>
            <w:tcW w:w="61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6C76" w:rsidRDefault="000836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Chemia ogólna i fizyczna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D6C76" w:rsidRDefault="000836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ECTS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D6C76" w:rsidRDefault="000836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7,0</w:t>
            </w:r>
          </w:p>
        </w:tc>
      </w:tr>
      <w:tr w:rsidR="00AD6C76">
        <w:trPr>
          <w:trHeight w:val="340"/>
        </w:trPr>
        <w:tc>
          <w:tcPr>
            <w:tcW w:w="3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C76" w:rsidRDefault="0008363B">
            <w:pPr>
              <w:widowControl w:val="0"/>
              <w:tabs>
                <w:tab w:val="left" w:pos="659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Tłumaczenie nazwy na jęz. angielski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2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C76" w:rsidRDefault="000836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General and physical chemistry</w:t>
            </w:r>
          </w:p>
        </w:tc>
      </w:tr>
      <w:tr w:rsidR="00AD6C76">
        <w:trPr>
          <w:trHeight w:val="298"/>
        </w:trPr>
        <w:tc>
          <w:tcPr>
            <w:tcW w:w="3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C76" w:rsidRDefault="000836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Kierunek studiów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4)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2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C76" w:rsidRDefault="000836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Biotechnologia</w:t>
            </w:r>
          </w:p>
        </w:tc>
      </w:tr>
      <w:tr w:rsidR="00AD6C76">
        <w:trPr>
          <w:trHeight w:val="340"/>
        </w:trPr>
        <w:tc>
          <w:tcPr>
            <w:tcW w:w="3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C76" w:rsidRDefault="000836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Koordynator przedmiotu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5)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2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C76" w:rsidRDefault="000836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 inż. Bożena Parczewska-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Plesnar</w:t>
            </w:r>
            <w:proofErr w:type="spellEnd"/>
          </w:p>
        </w:tc>
      </w:tr>
      <w:tr w:rsidR="00AD6C76">
        <w:trPr>
          <w:trHeight w:val="340"/>
        </w:trPr>
        <w:tc>
          <w:tcPr>
            <w:tcW w:w="3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C76" w:rsidRDefault="000836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Prowadzący zajęcia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6)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2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C76" w:rsidRDefault="000836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Pracownicy Katedry Chemii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WNoŻ</w:t>
            </w:r>
            <w:proofErr w:type="spellEnd"/>
          </w:p>
        </w:tc>
      </w:tr>
      <w:tr w:rsidR="00AD6C76">
        <w:trPr>
          <w:trHeight w:val="270"/>
        </w:trPr>
        <w:tc>
          <w:tcPr>
            <w:tcW w:w="3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C76" w:rsidRDefault="000836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Jednostka realizująca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7)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2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C76" w:rsidRDefault="000836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Wydział Nauk o Żywności, Katedra Chemii</w:t>
            </w:r>
          </w:p>
        </w:tc>
      </w:tr>
      <w:tr w:rsidR="00AD6C76">
        <w:trPr>
          <w:trHeight w:val="333"/>
        </w:trPr>
        <w:tc>
          <w:tcPr>
            <w:tcW w:w="3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C76" w:rsidRDefault="000836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Wydział, dla którego przedmiot jest realizowany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8)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2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C76" w:rsidRDefault="00116B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Wydział Ogrodnictwa, Biotechnologii i Architektury Krajobrazu</w:t>
            </w:r>
          </w:p>
        </w:tc>
      </w:tr>
      <w:tr w:rsidR="00AD6C76">
        <w:trPr>
          <w:trHeight w:val="340"/>
        </w:trPr>
        <w:tc>
          <w:tcPr>
            <w:tcW w:w="3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C76" w:rsidRDefault="000836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Status przedmiotu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9)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C76" w:rsidRDefault="000836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 przedmiot podstawowy, obowiązkowy</w:t>
            </w:r>
          </w:p>
        </w:tc>
        <w:tc>
          <w:tcPr>
            <w:tcW w:w="2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C76" w:rsidRDefault="000836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 stopień I , rok I</w:t>
            </w:r>
          </w:p>
        </w:tc>
        <w:tc>
          <w:tcPr>
            <w:tcW w:w="2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C76" w:rsidRDefault="000836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c)  stacjonarne </w:t>
            </w:r>
          </w:p>
        </w:tc>
      </w:tr>
      <w:tr w:rsidR="00AD6C76">
        <w:trPr>
          <w:trHeight w:val="272"/>
        </w:trPr>
        <w:tc>
          <w:tcPr>
            <w:tcW w:w="3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C76" w:rsidRDefault="000836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Cykl dydaktyczny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10)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C76" w:rsidRDefault="000836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Semestr zimowy</w:t>
            </w:r>
          </w:p>
        </w:tc>
        <w:tc>
          <w:tcPr>
            <w:tcW w:w="2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C76" w:rsidRDefault="000836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Jęz. wykładowy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11)</w:t>
            </w:r>
            <w:r>
              <w:rPr>
                <w:rFonts w:ascii="Arial" w:hAnsi="Arial" w:cs="Arial"/>
                <w:sz w:val="16"/>
                <w:szCs w:val="16"/>
              </w:rPr>
              <w:t>:język polski</w:t>
            </w:r>
          </w:p>
        </w:tc>
        <w:tc>
          <w:tcPr>
            <w:tcW w:w="2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C76" w:rsidRDefault="00AD6C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6C76">
        <w:trPr>
          <w:trHeight w:val="340"/>
        </w:trPr>
        <w:tc>
          <w:tcPr>
            <w:tcW w:w="3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C76" w:rsidRDefault="000836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Założenia i cele przedmiotu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12)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2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C76" w:rsidRDefault="000836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Opanowanie przez studenta podstawowej wiedzy z chemii ogólnej i fizycznej potrzebnej do dalszego studiowania przedmiotów kierunkowych. Zapoznanie studentów z podstawowym sprzętem laboratoryjnym i pracą w laboratorium. Kształtowanie umiejętności wykonywania obliczeń chemicznych, samodzielnej pracy laboratoryjnej, rzetelnego opracowywania wyników i wyciągania wniosków z przeprowadzonych doświadczeń.</w:t>
            </w:r>
          </w:p>
        </w:tc>
      </w:tr>
      <w:tr w:rsidR="00AD6C76">
        <w:trPr>
          <w:trHeight w:val="497"/>
        </w:trPr>
        <w:tc>
          <w:tcPr>
            <w:tcW w:w="3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C76" w:rsidRDefault="000836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Formy dydaktyczne, liczba godzin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13)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2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C76" w:rsidRDefault="0008363B">
            <w:pPr>
              <w:widowControl w:val="0"/>
              <w:tabs>
                <w:tab w:val="left" w:pos="470"/>
              </w:tabs>
              <w:autoSpaceDE w:val="0"/>
              <w:autoSpaceDN w:val="0"/>
              <w:adjustRightInd w:val="0"/>
              <w:ind w:left="470" w:hanging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</w:t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Wykład                                      liczba godzin .45;  </w:t>
            </w:r>
          </w:p>
          <w:p w:rsidR="00AD6C76" w:rsidRDefault="0008363B">
            <w:pPr>
              <w:widowControl w:val="0"/>
              <w:tabs>
                <w:tab w:val="left" w:pos="470"/>
              </w:tabs>
              <w:autoSpaceDE w:val="0"/>
              <w:autoSpaceDN w:val="0"/>
              <w:adjustRightInd w:val="0"/>
              <w:ind w:left="470" w:hanging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</w:t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Ćwiczenia laboratoryjne            liczba godzin .30.; </w:t>
            </w:r>
          </w:p>
        </w:tc>
      </w:tr>
      <w:tr w:rsidR="00AD6C76">
        <w:trPr>
          <w:trHeight w:val="340"/>
        </w:trPr>
        <w:tc>
          <w:tcPr>
            <w:tcW w:w="3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C76" w:rsidRDefault="000836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Metody dydaktyczne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14)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2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C76" w:rsidRDefault="000836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Wykłady z wykorzystaniem prezentacji opracowanych w programie „PowerPoint” oraz kilkuminutowych filmów i animacji ilustrujących omawianą tematykę.</w:t>
            </w:r>
          </w:p>
          <w:p w:rsidR="00AD6C76" w:rsidRDefault="000836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Ćwiczenia laboratoryjne, doświadczenia, obserwacja i pomiar, opis.   Konsultacje.</w:t>
            </w:r>
          </w:p>
        </w:tc>
      </w:tr>
      <w:tr w:rsidR="00AD6C76">
        <w:trPr>
          <w:trHeight w:val="340"/>
        </w:trPr>
        <w:tc>
          <w:tcPr>
            <w:tcW w:w="3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C76" w:rsidRDefault="000836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Pełny opis przedmiotu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15)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2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C76" w:rsidRDefault="0008363B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Tematyka wykładów: Budowa atomu. Konfiguracja elektronowa. Układ okresowy. Wiązania chemiczne. Oddziaływania międzycząsteczkowe. Stany skupienia materii. Przemiany fazowe. Elementy termodynamiki. Efekty cieplne procesów. Równowaga termodynamiczna. Szybkość reakcji chemicznych. Kataliza. Iloczyn jonowy wody.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roztworów. Iloczyn rozpuszczalności. Elektrochemia. Spektroskopia, prawo Lamberta-Beera. Zjawiska powierzchniowe. Układy koloidowe. Wybrane pierwiastki grup głównych. Znaczenie związków nieorganicznych w procesach życiowych.</w:t>
            </w:r>
          </w:p>
          <w:p w:rsidR="00AD6C76" w:rsidRDefault="000836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Tematyka ćwiczeń: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Przepisy BHP w laboratorium chemicznym. Reakcje w roztworach wodnych – reakcje bez zmiany stopnia utlenienia, reakcje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kompleksowania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, reakcje utleniania i redukcji. Analiza jakościowa soli (analiza chemiczna kationów i anionów). Podstawy analizy ilościowej. Analiza miareczkowa – kompleksometria, manganometria. Analiza instrumentalna – potencjometria, konduktometria, kolorymetria)</w:t>
            </w:r>
          </w:p>
        </w:tc>
      </w:tr>
      <w:tr w:rsidR="00AD6C76">
        <w:trPr>
          <w:trHeight w:val="340"/>
        </w:trPr>
        <w:tc>
          <w:tcPr>
            <w:tcW w:w="3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C76" w:rsidRDefault="000836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Wymagania formalne  (przedmioty wprowadzające)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16)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2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C76" w:rsidRDefault="00AD6C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6C76">
        <w:trPr>
          <w:trHeight w:val="340"/>
        </w:trPr>
        <w:tc>
          <w:tcPr>
            <w:tcW w:w="3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C76" w:rsidRDefault="000836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Założenia wstępne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17)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2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C76" w:rsidRDefault="000836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Znajomość chemii na poziomie matury poziomu podstawowego.</w:t>
            </w:r>
          </w:p>
        </w:tc>
      </w:tr>
      <w:tr w:rsidR="00AD6C76">
        <w:trPr>
          <w:trHeight w:val="271"/>
        </w:trPr>
        <w:tc>
          <w:tcPr>
            <w:tcW w:w="3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C76" w:rsidRDefault="000836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Efekty kształcenia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C76" w:rsidRDefault="000836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 – zna i rozumie podstawowe pojęcia i prawa z zakresu chemii ogólnej i fizycznej, omawiane podczas zajęć, oraz umie je zastosować do opisu procesów chemicznych;</w:t>
            </w:r>
          </w:p>
          <w:p w:rsidR="00AD6C76" w:rsidRDefault="000836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02 – potrafi wykorzystać poznane prawa i zależności do obliczeń chemicznych (w szczególności dotyczących stężeń roztworów,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roztworów, termochemii, iloczynów rozpuszczalności, kinetyki reakcji, elektrochemii, spektroskopii);</w:t>
            </w:r>
          </w:p>
          <w:p w:rsidR="00AD6C76" w:rsidRDefault="000836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 – zna oraz umie dobrać i wykonać proste reakcje chemiczne służące analizie jakościowej wybranych soli;</w:t>
            </w:r>
          </w:p>
        </w:tc>
        <w:tc>
          <w:tcPr>
            <w:tcW w:w="42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C76" w:rsidRDefault="000836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04 – posługuje się prostym sprzętem laboratoryjnym, za pomocą którego wykonuje i interpretuje proste miareczkowania kompleksometryczne,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redoksometryczne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potencjometryczne i konduktometryczne oraz oznaczenia kolorymetryczne;</w:t>
            </w:r>
          </w:p>
          <w:p w:rsidR="00AD6C76" w:rsidRDefault="000836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 – potrafi współdziałać w zespole wykonując oznaczenia chemiczne i przygotowując sprawozdania z wykonanych eksperymentów;</w:t>
            </w:r>
          </w:p>
          <w:p w:rsidR="00AD6C76" w:rsidRDefault="000836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 – ma świadomość niebezpieczeństw wynikających z pracy w laboratorium chemicznym oraz zna zasady BHP i ich przestrzega.</w:t>
            </w:r>
          </w:p>
        </w:tc>
      </w:tr>
      <w:tr w:rsidR="00AD6C76">
        <w:trPr>
          <w:trHeight w:val="733"/>
        </w:trPr>
        <w:tc>
          <w:tcPr>
            <w:tcW w:w="3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C76" w:rsidRDefault="000836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Sposób weryfikacji efektów kształcenia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19)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2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C76" w:rsidRDefault="000836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Efekty: 01, 02 - egzamin pisemny;                               Efekty: 03, 04 - kolokwia na ćwiczeniach laboratoryjnych;</w:t>
            </w:r>
          </w:p>
          <w:p w:rsidR="00AD6C76" w:rsidRDefault="000836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Efekt: 03, 04, 05, 06 - praktyczne zadania kontrolne wykonywane w trakcie zajęć / sprawozdania z wykonanych zadań kontrolnych;                                                      Efekty: 06 - ocena wynikająca z obserwacji w trakcie zajęć</w:t>
            </w:r>
          </w:p>
        </w:tc>
      </w:tr>
      <w:tr w:rsidR="00AD6C76">
        <w:trPr>
          <w:trHeight w:val="340"/>
        </w:trPr>
        <w:tc>
          <w:tcPr>
            <w:tcW w:w="3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C76" w:rsidRDefault="000836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Forma dokumentacji osiągniętych efektów kształcenia 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20)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2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C76" w:rsidRDefault="000836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Treść pytań z kolokwiów na ćwiczeniach, Lista ocen studentów z kolokwiów i sprawozdań z praktycznych zadań kontrolnych, treść pytań egzaminacyjnych z listą ocen.</w:t>
            </w:r>
          </w:p>
        </w:tc>
      </w:tr>
      <w:tr w:rsidR="00AD6C76">
        <w:trPr>
          <w:trHeight w:val="340"/>
        </w:trPr>
        <w:tc>
          <w:tcPr>
            <w:tcW w:w="3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C76" w:rsidRDefault="000836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Elementy i wagi mające wpływ na ocenę końcową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21)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2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C76" w:rsidRDefault="000836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 weryfikacji efektów kształcenia służy:  (1) ocena z praktycznych zadań kontrolnych wykonanych w laboratorium; (2) ocena z kolokwiów przeprowadzonych podczas ćwiczeń laboratoryjnych; (3) egzamin I część - sprawdzająca znajomość pojęć i praw oraz umiejętność ich zastosowania do opisu procesów chemicznych; (4) egzamin II część - sprawdzająca umiejętność obliczeń chemicznych. </w:t>
            </w:r>
          </w:p>
          <w:p w:rsidR="00AD6C76" w:rsidRDefault="000836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Dla każdego z tych elementów określona jest maksymalna liczba punktów do uzyskania, tj. 1-15 pkt., 2-25 pkt., 3-30 pkt., 4-30 pkt., (razem 100). Student, który z każdego elementu uzyskał co najmniej 50% punktów [odpowiednio: 1) 7,5 pkt., 2) 12,5 pkt., 3) 15 pkt., 4) 15 pkt.] zalicza przedmiot otrzymując ocenę zależną od sumy wszystkich punktów: 50,5-60 pkt. – ocena 3,0; 60,5-70 pkt. – ocena 3,5; 70,5-80 pkt. – ocena 4,0; 80,5-90 pkt. – ocena 4,5; 90,5-100pkt. – ocena 5,0.</w:t>
            </w:r>
          </w:p>
        </w:tc>
      </w:tr>
      <w:tr w:rsidR="00AD6C76">
        <w:trPr>
          <w:trHeight w:val="340"/>
        </w:trPr>
        <w:tc>
          <w:tcPr>
            <w:tcW w:w="3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C76" w:rsidRDefault="000836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Miejsce realizacji zajęć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22)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2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C76" w:rsidRDefault="000836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Wykłady odbywają się w auli wykładowej, a zajęcia laboratoryjne w laboratoriach dydaktycznych Katedry Chemii</w:t>
            </w:r>
          </w:p>
        </w:tc>
      </w:tr>
      <w:tr w:rsidR="00AD6C76">
        <w:trPr>
          <w:trHeight w:val="340"/>
        </w:trPr>
        <w:tc>
          <w:tcPr>
            <w:tcW w:w="1134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C76" w:rsidRDefault="0008363B">
            <w:pPr>
              <w:widowControl w:val="0"/>
              <w:autoSpaceDE w:val="0"/>
              <w:autoSpaceDN w:val="0"/>
              <w:adjustRightInd w:val="0"/>
              <w:ind w:left="66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Literatura podstawowa i uzupełniająca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23)</w:t>
            </w:r>
            <w:r>
              <w:rPr>
                <w:rFonts w:ascii="Arial" w:hAnsi="Arial" w:cs="Arial"/>
                <w:sz w:val="16"/>
                <w:szCs w:val="16"/>
              </w:rPr>
              <w:t>:  (1) Bielański, Podstawy chemii nieorganicznej, Wyd. PWN, W-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2008 (oraz wydania późniejsze). (2) Jones L.,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Atkins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P.: Chemia ogólna. Cząsteczki, materia, reakcje, PWN, Warszawa 2004 (oraz wydania późniejsze). (3) Praca zbiorowa, Ćwiczenia z chemii nieorganicznej i analitycznej, Wyd. SGGW 2011. (4) Praca zbiorowa, Ćwiczenia z chemii ogólnej i analitycznej, Wyd. SGGW. (5) Praca zbiorowa: Zadania z chemii, Wyd. SGGW.</w:t>
            </w:r>
          </w:p>
        </w:tc>
      </w:tr>
      <w:tr w:rsidR="00AD6C76">
        <w:trPr>
          <w:trHeight w:val="287"/>
        </w:trPr>
        <w:tc>
          <w:tcPr>
            <w:tcW w:w="1134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C76" w:rsidRDefault="000836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UWAGI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24)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</w:tr>
    </w:tbl>
    <w:p w:rsidR="00AD6C76" w:rsidRDefault="00AD6C76">
      <w:pPr>
        <w:widowControl w:val="0"/>
        <w:autoSpaceDE w:val="0"/>
        <w:autoSpaceDN w:val="0"/>
        <w:adjustRightInd w:val="0"/>
        <w:rPr>
          <w:sz w:val="10"/>
          <w:szCs w:val="10"/>
        </w:rPr>
      </w:pPr>
    </w:p>
    <w:p w:rsidR="00AD6C76" w:rsidRDefault="00AD6C76">
      <w:pPr>
        <w:widowControl w:val="0"/>
        <w:autoSpaceDE w:val="0"/>
        <w:autoSpaceDN w:val="0"/>
        <w:adjustRightInd w:val="0"/>
        <w:rPr>
          <w:sz w:val="10"/>
          <w:szCs w:val="10"/>
        </w:rPr>
      </w:pPr>
    </w:p>
    <w:p w:rsidR="00AD6C76" w:rsidRDefault="00AD6C76">
      <w:pPr>
        <w:widowControl w:val="0"/>
        <w:autoSpaceDE w:val="0"/>
        <w:autoSpaceDN w:val="0"/>
        <w:adjustRightInd w:val="0"/>
        <w:rPr>
          <w:sz w:val="10"/>
          <w:szCs w:val="10"/>
        </w:rPr>
      </w:pPr>
    </w:p>
    <w:p w:rsidR="00AD6C76" w:rsidRDefault="00AD6C76">
      <w:pPr>
        <w:widowControl w:val="0"/>
        <w:autoSpaceDE w:val="0"/>
        <w:autoSpaceDN w:val="0"/>
        <w:adjustRightInd w:val="0"/>
        <w:rPr>
          <w:sz w:val="10"/>
          <w:szCs w:val="10"/>
        </w:rPr>
      </w:pPr>
    </w:p>
    <w:p w:rsidR="00AD6C76" w:rsidRDefault="0008363B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Wskaźniki ilościowe charakteryzujące moduł/przedmiot</w:t>
      </w:r>
      <w:r>
        <w:rPr>
          <w:rFonts w:ascii="Arial" w:hAnsi="Arial" w:cs="Arial"/>
          <w:sz w:val="16"/>
          <w:szCs w:val="16"/>
          <w:vertAlign w:val="superscript"/>
        </w:rPr>
        <w:t>25)</w:t>
      </w:r>
      <w:r>
        <w:rPr>
          <w:rFonts w:ascii="Arial" w:hAnsi="Arial" w:cs="Arial"/>
          <w:sz w:val="16"/>
          <w:szCs w:val="16"/>
        </w:rPr>
        <w:t xml:space="preserve"> : Chemia ogólna i fizyczna</w:t>
      </w:r>
    </w:p>
    <w:p w:rsidR="00AD6C76" w:rsidRDefault="00AD6C76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tbl>
      <w:tblPr>
        <w:tblW w:w="11341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4"/>
        <w:gridCol w:w="1657"/>
      </w:tblGrid>
      <w:tr w:rsidR="00AD6C76">
        <w:trPr>
          <w:trHeight w:val="397"/>
        </w:trPr>
        <w:tc>
          <w:tcPr>
            <w:tcW w:w="9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C76" w:rsidRDefault="000836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hAnsi="Arial" w:cs="Arial"/>
                <w:sz w:val="16"/>
                <w:szCs w:val="16"/>
              </w:rPr>
              <w:t xml:space="preserve">  - na tej podstawie należy wypełnić pole ECTS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C76" w:rsidRDefault="000836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170 h</w:t>
            </w:r>
          </w:p>
          <w:p w:rsidR="00AD6C76" w:rsidRDefault="000836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7,0 ECTS</w:t>
            </w:r>
          </w:p>
        </w:tc>
      </w:tr>
      <w:tr w:rsidR="00AD6C76">
        <w:trPr>
          <w:trHeight w:val="397"/>
        </w:trPr>
        <w:tc>
          <w:tcPr>
            <w:tcW w:w="9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C76" w:rsidRDefault="000836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Łączna liczba punktów ECTS, którą student uzyskuje na zajęciach wymagających bezpośredniego udziału nauczycieli akademickich: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C76" w:rsidRDefault="000836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3,5 ECTS</w:t>
            </w:r>
          </w:p>
        </w:tc>
      </w:tr>
      <w:tr w:rsidR="00AD6C76">
        <w:trPr>
          <w:trHeight w:val="397"/>
        </w:trPr>
        <w:tc>
          <w:tcPr>
            <w:tcW w:w="9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C76" w:rsidRDefault="000836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Łączna liczba punktów ECTS, którą student  uzyskuje w ramach zajęć o charakterze praktycznym, takich jak zajęcia laboratoryjne, projektowe, itp.: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C76" w:rsidRDefault="000836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2,0 ECTS</w:t>
            </w:r>
          </w:p>
        </w:tc>
      </w:tr>
    </w:tbl>
    <w:p w:rsidR="00AD6C76" w:rsidRDefault="00AD6C76">
      <w:pPr>
        <w:widowControl w:val="0"/>
        <w:autoSpaceDE w:val="0"/>
        <w:autoSpaceDN w:val="0"/>
        <w:adjustRightInd w:val="0"/>
      </w:pPr>
    </w:p>
    <w:p w:rsidR="00AD6C76" w:rsidRDefault="0008363B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Wskaźniki ilościowe charakteryzujące moduł/przedmiot</w:t>
      </w:r>
      <w:r>
        <w:rPr>
          <w:rFonts w:ascii="Arial" w:hAnsi="Arial" w:cs="Arial"/>
          <w:sz w:val="16"/>
          <w:szCs w:val="16"/>
          <w:vertAlign w:val="superscript"/>
        </w:rPr>
        <w:t>25)</w:t>
      </w:r>
      <w:r>
        <w:rPr>
          <w:rFonts w:ascii="Arial" w:hAnsi="Arial" w:cs="Arial"/>
          <w:sz w:val="16"/>
          <w:szCs w:val="16"/>
        </w:rPr>
        <w:t xml:space="preserve"> : Chemia ogólna i fizyczna</w:t>
      </w:r>
    </w:p>
    <w:p w:rsidR="00AD6C76" w:rsidRDefault="00AD6C76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vertAlign w:val="superscript"/>
        </w:rPr>
      </w:pPr>
    </w:p>
    <w:tbl>
      <w:tblPr>
        <w:tblW w:w="11341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  <w:gridCol w:w="1276"/>
      </w:tblGrid>
      <w:tr w:rsidR="00AD6C76" w:rsidRPr="007D60A0">
        <w:trPr>
          <w:trHeight w:val="397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C76" w:rsidRDefault="000836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18</w:t>
            </w:r>
          </w:p>
          <w:p w:rsidR="00AD6C76" w:rsidRDefault="000836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Wykłady</w:t>
            </w:r>
          </w:p>
          <w:p w:rsidR="00AD6C76" w:rsidRDefault="000836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Ćwiczenia laboratoryjne</w:t>
            </w:r>
          </w:p>
          <w:p w:rsidR="00AD6C76" w:rsidRDefault="000836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Dokończenie zadań prowadzonych podczas ćwiczeń</w:t>
            </w:r>
          </w:p>
          <w:p w:rsidR="00AD6C76" w:rsidRDefault="000836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Przygotowanie do sprawdzianów</w:t>
            </w:r>
          </w:p>
          <w:p w:rsidR="00AD6C76" w:rsidRDefault="000836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Udział w konsultacjach</w:t>
            </w:r>
          </w:p>
          <w:p w:rsidR="00AD6C76" w:rsidRDefault="000836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Przygotowanie do egzaminu</w:t>
            </w:r>
          </w:p>
          <w:p w:rsidR="00AD6C76" w:rsidRDefault="000836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Obecność na egzaminie                  </w:t>
            </w:r>
          </w:p>
          <w:p w:rsidR="00AD6C76" w:rsidRDefault="000836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Razem </w:t>
            </w:r>
          </w:p>
          <w:p w:rsidR="00AD6C76" w:rsidRDefault="00AD6C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C76" w:rsidRDefault="00AD6C7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AD6C76" w:rsidRDefault="00AD6C7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AD6C76" w:rsidRDefault="000836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45 h</w:t>
            </w:r>
          </w:p>
          <w:p w:rsidR="00AD6C76" w:rsidRDefault="000836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30 h</w:t>
            </w:r>
          </w:p>
          <w:p w:rsidR="00AD6C76" w:rsidRDefault="000836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15 h</w:t>
            </w:r>
          </w:p>
          <w:p w:rsidR="00AD6C76" w:rsidRDefault="000836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20 h</w:t>
            </w:r>
          </w:p>
          <w:p w:rsidR="00AD6C76" w:rsidRDefault="000836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8 h</w:t>
            </w:r>
          </w:p>
          <w:p w:rsidR="00AD6C76" w:rsidRDefault="000836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50 h</w:t>
            </w:r>
          </w:p>
          <w:p w:rsidR="00AD6C76" w:rsidRDefault="000836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2 h</w:t>
            </w:r>
          </w:p>
          <w:p w:rsidR="00AD6C76" w:rsidRDefault="000836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>170 h</w:t>
            </w:r>
          </w:p>
          <w:p w:rsidR="00AD6C76" w:rsidRDefault="000836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>7,0 ECTS</w:t>
            </w:r>
          </w:p>
        </w:tc>
      </w:tr>
      <w:tr w:rsidR="00AD6C76">
        <w:trPr>
          <w:trHeight w:val="397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C76" w:rsidRDefault="000836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Łączna liczba punktów ECTS, którą student uzyskuje na zajęciach wymagających bezpośredniego udziału nauczycieli akademickich:</w:t>
            </w:r>
          </w:p>
          <w:p w:rsidR="00AD6C76" w:rsidRDefault="000836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Wykłady</w:t>
            </w:r>
          </w:p>
          <w:p w:rsidR="00AD6C76" w:rsidRDefault="000836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Ćwiczenia laboratoryjne</w:t>
            </w:r>
          </w:p>
          <w:p w:rsidR="00AD6C76" w:rsidRDefault="000836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Udział w konsultacjach</w:t>
            </w:r>
          </w:p>
          <w:p w:rsidR="00AD6C76" w:rsidRDefault="000836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Obecność na egzaminie                  </w:t>
            </w:r>
          </w:p>
          <w:p w:rsidR="00AD6C76" w:rsidRDefault="000836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Razem </w:t>
            </w:r>
          </w:p>
          <w:p w:rsidR="00AD6C76" w:rsidRDefault="00AD6C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C76" w:rsidRDefault="00AD6C7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AD6C76" w:rsidRDefault="00AD6C7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AD6C76" w:rsidRDefault="000836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45 h</w:t>
            </w:r>
          </w:p>
          <w:p w:rsidR="00AD6C76" w:rsidRDefault="000836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30 h</w:t>
            </w:r>
          </w:p>
          <w:p w:rsidR="00AD6C76" w:rsidRDefault="000836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8 h</w:t>
            </w:r>
          </w:p>
          <w:p w:rsidR="00AD6C76" w:rsidRDefault="000836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 h</w:t>
            </w:r>
          </w:p>
          <w:p w:rsidR="00AD6C76" w:rsidRDefault="000836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85 h</w:t>
            </w:r>
          </w:p>
          <w:p w:rsidR="00AD6C76" w:rsidRDefault="000836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3,5 ECTS</w:t>
            </w:r>
          </w:p>
        </w:tc>
      </w:tr>
      <w:tr w:rsidR="00AD6C76">
        <w:trPr>
          <w:trHeight w:val="397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C76" w:rsidRDefault="000836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Łączna liczba punktów ECTS, którą student uzyskuje w ramach zajęć o charakterze praktycznym, takich jak zajęcia laboratoryjne, projektowe, itp.:</w:t>
            </w:r>
          </w:p>
          <w:p w:rsidR="00AD6C76" w:rsidRDefault="000836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Ćwiczenia laboratoryjne</w:t>
            </w:r>
          </w:p>
          <w:p w:rsidR="00AD6C76" w:rsidRDefault="000836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Udział w konsultacjach</w:t>
            </w:r>
          </w:p>
          <w:p w:rsidR="00AD6C76" w:rsidRDefault="000836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Dokończenie zadań prowadzonych podczas ćwiczeń</w:t>
            </w:r>
          </w:p>
          <w:p w:rsidR="00AD6C76" w:rsidRDefault="000836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Razem </w:t>
            </w:r>
          </w:p>
          <w:p w:rsidR="00AD6C76" w:rsidRDefault="00AD6C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C76" w:rsidRDefault="00AD6C7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AD6C76" w:rsidRDefault="00AD6C7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AD6C76" w:rsidRDefault="000836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 h</w:t>
            </w:r>
          </w:p>
          <w:p w:rsidR="00AD6C76" w:rsidRDefault="000836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h</w:t>
            </w:r>
          </w:p>
          <w:p w:rsidR="00AD6C76" w:rsidRDefault="000836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h</w:t>
            </w:r>
          </w:p>
          <w:p w:rsidR="00AD6C76" w:rsidRDefault="000836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53 h</w:t>
            </w:r>
          </w:p>
          <w:p w:rsidR="00AD6C76" w:rsidRDefault="000836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2,0 ECTS</w:t>
            </w:r>
          </w:p>
        </w:tc>
      </w:tr>
    </w:tbl>
    <w:p w:rsidR="00AD6C76" w:rsidRDefault="00AD6C76">
      <w:pPr>
        <w:widowControl w:val="0"/>
        <w:autoSpaceDE w:val="0"/>
        <w:autoSpaceDN w:val="0"/>
        <w:adjustRightInd w:val="0"/>
      </w:pPr>
    </w:p>
    <w:p w:rsidR="00AD6C76" w:rsidRDefault="0008363B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Tabela zgodności kierunkowych efektów kształcenia efektami przedmiotu </w:t>
      </w:r>
      <w:r>
        <w:rPr>
          <w:rFonts w:ascii="Arial" w:hAnsi="Arial" w:cs="Arial"/>
          <w:sz w:val="16"/>
          <w:szCs w:val="16"/>
          <w:vertAlign w:val="superscript"/>
        </w:rPr>
        <w:t>26)</w:t>
      </w:r>
      <w:r>
        <w:rPr>
          <w:rFonts w:ascii="Arial" w:hAnsi="Arial" w:cs="Arial"/>
          <w:sz w:val="16"/>
          <w:szCs w:val="16"/>
        </w:rPr>
        <w:t xml:space="preserve"> Chemia ogólna i fizyczna</w:t>
      </w:r>
    </w:p>
    <w:p w:rsidR="00AD6C76" w:rsidRDefault="00AD6C76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vertAlign w:val="superscript"/>
        </w:rPr>
      </w:pPr>
    </w:p>
    <w:tbl>
      <w:tblPr>
        <w:tblW w:w="11341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4"/>
        <w:gridCol w:w="6660"/>
        <w:gridCol w:w="3677"/>
      </w:tblGrid>
      <w:tr w:rsidR="00AD6C76"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76" w:rsidRDefault="000836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Nr /symbol efektu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76" w:rsidRDefault="0008363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Wymienione w wierszu efekty kształcenia: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76" w:rsidRDefault="000836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Odniesienie do efektów dla programu kształcenia na kierunku</w:t>
            </w:r>
          </w:p>
        </w:tc>
      </w:tr>
      <w:tr w:rsidR="00AD6C76"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76" w:rsidRDefault="0008363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76" w:rsidRDefault="000836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Student zna i rozumie podstawowe pojęcia i prawa z zakresu chemii ogólnej i fizycznej, omawiane podczas zajęć, oraz umie je zastosować do opisu procesów chemicznych.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76" w:rsidRDefault="0008363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K_W09, K_U03, K_U09</w:t>
            </w:r>
          </w:p>
        </w:tc>
      </w:tr>
      <w:tr w:rsidR="00AD6C76"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76" w:rsidRDefault="0008363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76" w:rsidRDefault="000836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Student potrafi wykorzystać poznane prawa i zależności do obliczeń chemicznych (w szczególności dotyczących stężeń roztworów,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roztworów, termochemii, iloczynów rozpuszczalności, kinetyki reakcji, elektrochemii, spektroskopii).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76" w:rsidRDefault="0008363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K_W09</w:t>
            </w:r>
          </w:p>
        </w:tc>
      </w:tr>
      <w:tr w:rsidR="00AD6C76"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76" w:rsidRDefault="0008363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76" w:rsidRDefault="000836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Student zna oraz umie dobrać i wykonać proste reakcje chemiczne służące analizie jakościowej wybranych soli.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76" w:rsidRDefault="0008363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K_W05, K_U10</w:t>
            </w:r>
          </w:p>
        </w:tc>
      </w:tr>
      <w:tr w:rsidR="00AD6C76"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76" w:rsidRDefault="0008363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76" w:rsidRDefault="000836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Student posługuje się prostym sprzętem laboratoryjnym, za pomocą którego wykonuje i interpretuje proste miareczkowania kompleksometryczne,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redoksometryczne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potencjometryczne i konduktometryczne oraz oznaczenia kolorymetryczne.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76" w:rsidRDefault="0008363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K_W05, K_U10</w:t>
            </w:r>
          </w:p>
        </w:tc>
      </w:tr>
      <w:tr w:rsidR="00AD6C76"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76" w:rsidRDefault="0008363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76" w:rsidRDefault="000836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Student potrafi współdziałać w zespole wykonując oznaczenia chemiczne i przygotowując sprawozdania z wykonanych eksperymentów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76" w:rsidRDefault="0008363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K_K04</w:t>
            </w:r>
          </w:p>
        </w:tc>
      </w:tr>
      <w:tr w:rsidR="00AD6C76"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76" w:rsidRDefault="0008363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76" w:rsidRDefault="000836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Student ma świadomość niebezpieczeństw wynikających z pracy w laboratorium chemicznym oraz zna zasady BHP i ich przestrzega.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76" w:rsidRDefault="0008363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K_W11, K_K05</w:t>
            </w:r>
          </w:p>
        </w:tc>
      </w:tr>
    </w:tbl>
    <w:p w:rsidR="00AD6C76" w:rsidRDefault="00AD6C7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sectPr w:rsidR="00AD6C76">
      <w:pgSz w:w="12240" w:h="15840"/>
      <w:pgMar w:top="397" w:right="567" w:bottom="567" w:left="851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2DD"/>
    <w:rsid w:val="000242DD"/>
    <w:rsid w:val="0008363B"/>
    <w:rsid w:val="00116B7C"/>
    <w:rsid w:val="007D60A0"/>
    <w:rsid w:val="00A71386"/>
    <w:rsid w:val="00AD6C76"/>
    <w:rsid w:val="00E5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1301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wojtek</cp:lastModifiedBy>
  <cp:revision>2</cp:revision>
  <dcterms:created xsi:type="dcterms:W3CDTF">2017-10-05T08:49:00Z</dcterms:created>
  <dcterms:modified xsi:type="dcterms:W3CDTF">2017-10-05T08:49:00Z</dcterms:modified>
</cp:coreProperties>
</file>