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5070A" w:rsidRDefault="00D5070A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D5070A">
              <w:rPr>
                <w:rFonts w:ascii="Arial" w:hAnsi="Arial" w:cs="Arial"/>
                <w:b/>
                <w:sz w:val="20"/>
                <w:szCs w:val="20"/>
              </w:rPr>
              <w:t>Fizjomika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5070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D5070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Physiomics 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D5070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3D00C0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3D00C0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3D00C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3D00C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3D00C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3D00C0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FA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F03CFA">
              <w:rPr>
                <w:bCs/>
                <w:sz w:val="16"/>
                <w:szCs w:val="16"/>
              </w:rPr>
              <w:t>III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3D00C0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4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DE40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DE4020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DE402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17823" w:rsidP="00DE40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17823">
              <w:rPr>
                <w:b/>
                <w:sz w:val="16"/>
                <w:szCs w:val="16"/>
              </w:rPr>
              <w:t>OGR_BT-2S-3L-3</w:t>
            </w:r>
            <w:r w:rsidR="00DE4020">
              <w:rPr>
                <w:b/>
                <w:sz w:val="16"/>
                <w:szCs w:val="16"/>
              </w:rPr>
              <w:t>1</w:t>
            </w:r>
            <w:r w:rsidRPr="00B17823">
              <w:rPr>
                <w:b/>
                <w:sz w:val="16"/>
                <w:szCs w:val="16"/>
              </w:rPr>
              <w:t>_</w:t>
            </w:r>
            <w:r w:rsidR="00DE4020">
              <w:rPr>
                <w:b/>
                <w:sz w:val="16"/>
                <w:szCs w:val="16"/>
              </w:rPr>
              <w:t>4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Default="00D5070A" w:rsidP="00D50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Default="00D5070A" w:rsidP="00D50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Default="00DE4020" w:rsidP="00D50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D5070A">
              <w:rPr>
                <w:rFonts w:ascii="Arial" w:hAnsi="Arial" w:cs="Arial"/>
                <w:sz w:val="16"/>
                <w:szCs w:val="16"/>
              </w:rPr>
              <w:t>; Katedra Genetyki, Hodowli i Biotechnologii Roślin</w:t>
            </w: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Default="00DE4020" w:rsidP="00D5070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 bazuje na zaawansowanej wiedzy z takich przedmiotów, jak: fizjomika I, fizjologia roślin, biochemia, biologia molekularna i bioinformatyka. Celem kursu jest pogłębienie u studentów całościowego (holistycznego) podejścia do funkcjonowania rośliny, wraz ze zwróceniem uwagi, na wynikające z procesów ewolucyjnych dostosowywanie się strategii życiowych roślin do zmieniających się warunków otoczenia. W trakcie kursu studenci szczególnie zapoznają się z dywergentną ewolucją fotosyntezy i mechanizmu widzenia u zwierząt oraz z dywergentną ewolucją mechanizmu śmierci komórki u roślin i zwierząt. Dodatkowo studenci dowiedzą się jak geny regulujące te podstawowe procesy mogą być wykorzystywane w biotechnologicznym ulepszaniu roślin (regulacji plonowania, składu ściany komórkowej, regulacji przyrostu biomasy).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kursu obejmuje: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1.Regulacja niefotochemicznego i fotochemicznego wygaszania i rozpraszania nadmiaru energii wzbudzenia.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Regulacja przeznaczenia zabsorbowanej energii fotonów przez fotosystem II na fotochemię, ciepło i fluorescencje.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Działanie liścia jako sieci biologiczno-kwantowych komputerów (zliczających fotony i ich energię)  i przetwarzanie tej informacji na odpowiedzi fizjologiczne i molekularne regulujące wzrost, plonowanie i wydajność zużycia wody przez roślinę.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Rola śmierci komórki w regulacji wzrostu i plonowania oraz regulacja genów kontrolujących ten proces.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Dywergentna ewolucja fotosyntezy, mechanizmu widzenia i śmierci komórki u roślin i zwierząt.</w:t>
            </w:r>
          </w:p>
          <w:p w:rsidR="00D5070A" w:rsidRDefault="00D5070A" w:rsidP="00D507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Biotechnologiczne amelioracje fotosyntezy, śmierci komórki i ich wpływ na plonowanie, skład i właściwości ściany komórkowej.</w:t>
            </w:r>
          </w:p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Matematyczne modelowanie procesów molekularnych i fizjologicznych  u roślin</w:t>
            </w:r>
          </w:p>
        </w:tc>
      </w:tr>
      <w:tr w:rsidR="00D5070A" w:rsidRPr="00E31A6B" w:rsidTr="00D5070A">
        <w:trPr>
          <w:trHeight w:val="31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Pr="00D5070A" w:rsidRDefault="00D5070A" w:rsidP="00D5070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15</w:t>
            </w:r>
            <w:r w:rsidRPr="00582090">
              <w:rPr>
                <w:sz w:val="16"/>
                <w:szCs w:val="16"/>
              </w:rPr>
              <w:t xml:space="preserve">.....;  </w:t>
            </w:r>
            <w:r w:rsidRPr="00D5070A">
              <w:rPr>
                <w:sz w:val="16"/>
                <w:szCs w:val="16"/>
              </w:rPr>
              <w:t xml:space="preserve"> </w:t>
            </w:r>
          </w:p>
        </w:tc>
      </w:tr>
      <w:tr w:rsidR="00D5070A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Pr="00582090" w:rsidRDefault="00D5070A" w:rsidP="00D5070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rozwiązanie problemu, konsultacje</w:t>
            </w:r>
            <w:r w:rsidR="00DE40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4020">
              <w:t xml:space="preserve"> </w:t>
            </w:r>
            <w:r w:rsidR="00DE4020" w:rsidRPr="00DE402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5070A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70A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70A" w:rsidRPr="00B36D67" w:rsidRDefault="00D5070A" w:rsidP="00D507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 xml:space="preserve"> znajomość biochemii i fizjologii roślin, bioinformatyki, fizjomiki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przed rozpoczęciem zajęć powinien posiadać wiedzę z zakresu fizjologii roślin, budowy komórki, biologii molekularnej i .fizjologii</w:t>
            </w:r>
          </w:p>
        </w:tc>
      </w:tr>
      <w:tr w:rsidR="00D5070A" w:rsidTr="0022732F">
        <w:trPr>
          <w:trHeight w:val="907"/>
        </w:trPr>
        <w:tc>
          <w:tcPr>
            <w:tcW w:w="2480" w:type="dxa"/>
            <w:gridSpan w:val="2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D5070A" w:rsidRDefault="00D5070A" w:rsidP="0022732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E86FC0">
              <w:rPr>
                <w:rFonts w:ascii="Arial" w:hAnsi="Arial" w:cs="Arial"/>
                <w:sz w:val="16"/>
                <w:szCs w:val="16"/>
              </w:rPr>
              <w:t>student ma wiedzę na temat regulowania pozornie oddalonych procesów, takich jak: fotosynteza, śmierć komórki.</w:t>
            </w:r>
          </w:p>
          <w:p w:rsidR="00D5070A" w:rsidRPr="00582090" w:rsidRDefault="0022732F" w:rsidP="0022732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E86FC0">
              <w:rPr>
                <w:rFonts w:ascii="Arial" w:hAnsi="Arial" w:cs="Arial"/>
                <w:sz w:val="16"/>
                <w:szCs w:val="16"/>
              </w:rPr>
              <w:t>student ma wiedzę w zakresie matematycznego modelowania i przedstawiania za pomocą wzorów matematycznych przebiegu procesów fizjologicznych w roślinie.</w:t>
            </w:r>
          </w:p>
        </w:tc>
        <w:tc>
          <w:tcPr>
            <w:tcW w:w="2730" w:type="dxa"/>
            <w:gridSpan w:val="3"/>
          </w:tcPr>
          <w:p w:rsidR="00D5070A" w:rsidRPr="00582090" w:rsidRDefault="00D5070A" w:rsidP="0022732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5070A" w:rsidRPr="00582090" w:rsidRDefault="0022732F" w:rsidP="0022732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E86FC0">
              <w:rPr>
                <w:rFonts w:ascii="Arial" w:hAnsi="Arial" w:cs="Arial"/>
                <w:sz w:val="16"/>
                <w:szCs w:val="16"/>
              </w:rPr>
              <w:t>student kompletnie rozumie znaczenie holistycznego i systemowego podejścia do funkcjonowania roślin, poczynając od poziomu molekularnego, poprzez komórki, tkanki i organy, a na całym organizmie roślinnym kończąc</w:t>
            </w:r>
          </w:p>
        </w:tc>
        <w:tc>
          <w:tcPr>
            <w:tcW w:w="2730" w:type="dxa"/>
            <w:gridSpan w:val="4"/>
          </w:tcPr>
          <w:p w:rsidR="00D5070A" w:rsidRPr="00BD2417" w:rsidRDefault="00D5070A" w:rsidP="0022732F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5070A" w:rsidRPr="00582090" w:rsidRDefault="0022732F" w:rsidP="0022732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E86FC0">
              <w:rPr>
                <w:rFonts w:ascii="Arial" w:hAnsi="Arial" w:cs="Arial"/>
                <w:sz w:val="16"/>
                <w:szCs w:val="16"/>
              </w:rPr>
              <w:t>student ma świadomość społecznego znaczenia genetycznego doskonalenia roślin dla ulepszenia ich plonowania.</w:t>
            </w:r>
          </w:p>
        </w:tc>
      </w:tr>
      <w:tr w:rsidR="00D5070A" w:rsidTr="00C03D95">
        <w:trPr>
          <w:trHeight w:val="622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5070A" w:rsidRPr="009E71F1" w:rsidRDefault="00C03D95" w:rsidP="0022732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z wykładów - efekty </w:t>
            </w:r>
            <w:r w:rsidR="0022732F">
              <w:rPr>
                <w:rFonts w:ascii="Arial" w:hAnsi="Arial" w:cs="Arial"/>
                <w:sz w:val="16"/>
                <w:szCs w:val="16"/>
              </w:rPr>
              <w:t>W1, W2, U1, K1</w:t>
            </w:r>
            <w:r w:rsidR="00DE40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4020">
              <w:t xml:space="preserve"> </w:t>
            </w:r>
            <w:r w:rsidR="00DE4020" w:rsidRPr="00DE402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5070A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5070A" w:rsidRPr="009E71F1" w:rsidRDefault="00C03D95" w:rsidP="00D5070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  <w:r w:rsidR="00DE40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4020">
              <w:t xml:space="preserve"> </w:t>
            </w:r>
            <w:r w:rsidR="00DE4020" w:rsidRPr="00DE402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5070A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5070A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5070A" w:rsidRPr="00582090" w:rsidRDefault="00D5070A" w:rsidP="00D5070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03D95" w:rsidRDefault="00C03D95" w:rsidP="00C03D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zaliczenia z wykładów  – 100%</w:t>
            </w:r>
          </w:p>
          <w:p w:rsidR="00C03D95" w:rsidRDefault="00C03D95" w:rsidP="00C03D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Oceny wystawiane są zgodnie z kryterium: 100-91% - 5,0       90-81% -  4,5            80-71% -  4,0</w:t>
            </w:r>
          </w:p>
          <w:p w:rsidR="00D5070A" w:rsidRPr="009E71F1" w:rsidRDefault="00C03D95" w:rsidP="00C03D9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70-61% -  3,5              60-51% -  3,0</w:t>
            </w:r>
          </w:p>
        </w:tc>
      </w:tr>
      <w:tr w:rsidR="00D5070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5070A" w:rsidRPr="009E71F1" w:rsidRDefault="00C03D95" w:rsidP="00D5070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D5070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03D95" w:rsidRPr="00C03D95" w:rsidRDefault="00C03D95" w:rsidP="00C03D95">
            <w:pPr>
              <w:spacing w:line="240" w:lineRule="auto"/>
              <w:rPr>
                <w:sz w:val="16"/>
                <w:szCs w:val="16"/>
              </w:rPr>
            </w:pPr>
            <w:r w:rsidRPr="00C03D95">
              <w:rPr>
                <w:sz w:val="16"/>
                <w:szCs w:val="16"/>
              </w:rPr>
              <w:t>Literatura podstawowa:</w:t>
            </w:r>
          </w:p>
          <w:p w:rsidR="00C03D95" w:rsidRPr="00C03D95" w:rsidRDefault="00C03D95" w:rsidP="00C03D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C03D95">
              <w:rPr>
                <w:sz w:val="16"/>
                <w:szCs w:val="16"/>
              </w:rPr>
              <w:t>Biotechnologia roślin” 2001, pod. Red. S. Malepszego Wydawnictwo Naukowe PWN, ISBN 83 – 01 – 13566 – 2 oraz „Biotechnologia roślin” 2009 wydanie nowe, ISBN 978-83-01-159474</w:t>
            </w:r>
          </w:p>
          <w:p w:rsidR="00C03D95" w:rsidRPr="00C03D95" w:rsidRDefault="00C03D95" w:rsidP="00C03D95">
            <w:pPr>
              <w:spacing w:line="240" w:lineRule="auto"/>
              <w:rPr>
                <w:sz w:val="16"/>
                <w:szCs w:val="16"/>
              </w:rPr>
            </w:pPr>
            <w:r w:rsidRPr="00C03D95">
              <w:rPr>
                <w:sz w:val="16"/>
                <w:szCs w:val="16"/>
              </w:rPr>
              <w:lastRenderedPageBreak/>
              <w:t>Literatura uzupełniająca: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03D95">
              <w:rPr>
                <w:sz w:val="16"/>
                <w:szCs w:val="16"/>
              </w:rPr>
              <w:t xml:space="preserve">. </w:t>
            </w:r>
            <w:r w:rsidR="00C03D95" w:rsidRPr="00C03D95">
              <w:rPr>
                <w:sz w:val="16"/>
                <w:szCs w:val="16"/>
              </w:rPr>
              <w:t xml:space="preserve">Baker, N.R. (2008). </w:t>
            </w:r>
            <w:r w:rsidR="00C03D95" w:rsidRPr="00E86FC0">
              <w:rPr>
                <w:sz w:val="16"/>
                <w:szCs w:val="16"/>
                <w:lang w:val="en-US"/>
              </w:rPr>
              <w:t>Chlorophyll fluorescence: a probe of photosynthesis in vivo. Annu. Rev. Plant Biol 59: 89-113.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86FC0">
              <w:rPr>
                <w:sz w:val="16"/>
                <w:szCs w:val="16"/>
                <w:lang w:val="en-US"/>
              </w:rPr>
              <w:t>2</w:t>
            </w:r>
            <w:r w:rsidR="00C03D95" w:rsidRPr="00E86FC0">
              <w:rPr>
                <w:sz w:val="16"/>
                <w:szCs w:val="16"/>
                <w:lang w:val="en-US"/>
              </w:rPr>
              <w:t>. Hetherington, A.M., Woodward, F.I. (2003). The role of stomata in sensing and driving environmental change. Nature 424: 901-908.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86FC0">
              <w:rPr>
                <w:sz w:val="16"/>
                <w:szCs w:val="16"/>
                <w:lang w:val="en-US"/>
              </w:rPr>
              <w:t>3</w:t>
            </w:r>
            <w:r w:rsidR="00C03D95" w:rsidRPr="00E86FC0">
              <w:rPr>
                <w:sz w:val="16"/>
                <w:szCs w:val="16"/>
                <w:lang w:val="en-US"/>
              </w:rPr>
              <w:t>. Karpinski, S., Gabryś, H., Mateo, A., Karpinska, B., Mullineaux, P.M. (2003). Light perception in plant disease defence signalling. Curr. Opin. Plant Biol. 6: 390–396.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86FC0">
              <w:rPr>
                <w:sz w:val="16"/>
                <w:szCs w:val="16"/>
                <w:lang w:val="en-US"/>
              </w:rPr>
              <w:t>4</w:t>
            </w:r>
            <w:r w:rsidR="00C03D95" w:rsidRPr="00E86FC0">
              <w:rPr>
                <w:sz w:val="16"/>
                <w:szCs w:val="16"/>
                <w:lang w:val="en-US"/>
              </w:rPr>
              <w:t>. Karpiński, S., and Szechyńska-Hebda, M. (2010). Secret life of plants: from memory to intelligence. Plant Signal. Behav. 5: 1391-1394.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86FC0">
              <w:rPr>
                <w:sz w:val="16"/>
                <w:szCs w:val="16"/>
                <w:lang w:val="en-US"/>
              </w:rPr>
              <w:t>5</w:t>
            </w:r>
            <w:r w:rsidR="00C03D95" w:rsidRPr="00E86FC0">
              <w:rPr>
                <w:sz w:val="16"/>
                <w:szCs w:val="16"/>
                <w:lang w:val="en-US"/>
              </w:rPr>
              <w:t>. Mullineaux, P.M., Karpinski, S. (2002). Signal transduction in response to excess light: getting out of the chloroplast. Curr. Opin. Plant Biol. 5: 43-48.</w:t>
            </w:r>
          </w:p>
          <w:p w:rsidR="00C03D95" w:rsidRPr="00C03D95" w:rsidRDefault="001B2AEE" w:rsidP="00C03D95">
            <w:pPr>
              <w:spacing w:line="240" w:lineRule="auto"/>
              <w:rPr>
                <w:sz w:val="16"/>
                <w:szCs w:val="16"/>
              </w:rPr>
            </w:pPr>
            <w:r w:rsidRPr="00E86FC0">
              <w:rPr>
                <w:sz w:val="16"/>
                <w:szCs w:val="16"/>
                <w:lang w:val="en-US"/>
              </w:rPr>
              <w:t>6</w:t>
            </w:r>
            <w:r w:rsidR="00C03D95" w:rsidRPr="00E86FC0">
              <w:rPr>
                <w:sz w:val="16"/>
                <w:szCs w:val="16"/>
                <w:lang w:val="en-US"/>
              </w:rPr>
              <w:t xml:space="preserve">. Peak, D., West, J.D., Messinger, S.M., and Mott, K.A. (2004). Evidence for complex, collective dynamics and emergent, distributed computation in plants. </w:t>
            </w:r>
            <w:r w:rsidR="00C03D95" w:rsidRPr="00C03D95">
              <w:rPr>
                <w:sz w:val="16"/>
                <w:szCs w:val="16"/>
              </w:rPr>
              <w:t>Proc. Natl. Acad. Sci. USA 101: 918-22.</w:t>
            </w:r>
          </w:p>
          <w:p w:rsidR="00C03D95" w:rsidRPr="00C03D95" w:rsidRDefault="001B2AEE" w:rsidP="00C03D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3D95">
              <w:rPr>
                <w:sz w:val="16"/>
                <w:szCs w:val="16"/>
              </w:rPr>
              <w:t xml:space="preserve">. </w:t>
            </w:r>
            <w:r w:rsidR="00C03D95" w:rsidRPr="00C03D95">
              <w:rPr>
                <w:sz w:val="16"/>
                <w:szCs w:val="16"/>
              </w:rPr>
              <w:t xml:space="preserve">Szechyńska-Hebda, M., Kruk, J., Górecka, M., Karpińska, B., and Karpiński, S. (2010). </w:t>
            </w:r>
            <w:r w:rsidR="00C03D95" w:rsidRPr="00E86FC0">
              <w:rPr>
                <w:sz w:val="16"/>
                <w:szCs w:val="16"/>
                <w:lang w:val="en-US"/>
              </w:rPr>
              <w:t xml:space="preserve">Evidence for light wavelength-specific photoelectrophysiological signaling and memory of excess light episodes in Arabidopsis. </w:t>
            </w:r>
            <w:r w:rsidR="00C03D95" w:rsidRPr="00C03D95">
              <w:rPr>
                <w:sz w:val="16"/>
                <w:szCs w:val="16"/>
              </w:rPr>
              <w:t>Plant Cell 22: 2201-2218.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C03D95">
              <w:rPr>
                <w:sz w:val="16"/>
                <w:szCs w:val="16"/>
              </w:rPr>
              <w:t xml:space="preserve">. </w:t>
            </w:r>
            <w:r w:rsidR="00C03D95" w:rsidRPr="00C03D95">
              <w:rPr>
                <w:sz w:val="16"/>
                <w:szCs w:val="16"/>
              </w:rPr>
              <w:t xml:space="preserve">Ślesak, I., Karpiński, S. (2010). Biologiczne bazy danych i ich zastosowanie w funkcjonalnej analizie porównawczej organizmów – wybrane zagadnienia. </w:t>
            </w:r>
            <w:r w:rsidR="00C03D95" w:rsidRPr="00E86FC0">
              <w:rPr>
                <w:sz w:val="16"/>
                <w:szCs w:val="16"/>
                <w:lang w:val="en-US"/>
              </w:rPr>
              <w:t>Biotechnologia, 4: 39-52.</w:t>
            </w:r>
          </w:p>
          <w:p w:rsidR="00C03D95" w:rsidRPr="00E86FC0" w:rsidRDefault="001B2AEE" w:rsidP="00C03D9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86FC0">
              <w:rPr>
                <w:sz w:val="16"/>
                <w:szCs w:val="16"/>
                <w:lang w:val="en-US"/>
              </w:rPr>
              <w:t>9</w:t>
            </w:r>
            <w:r w:rsidR="00C03D95" w:rsidRPr="00E86FC0">
              <w:rPr>
                <w:sz w:val="16"/>
                <w:szCs w:val="16"/>
                <w:lang w:val="en-US"/>
              </w:rPr>
              <w:t>. Taiz, L., Zeiger, E. (2002) Plant Physiology. Third edition. Sinauer Associates Inc., pp. 700.</w:t>
            </w:r>
          </w:p>
          <w:p w:rsidR="00D5070A" w:rsidRDefault="001B2AEE" w:rsidP="00C03D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3D95">
              <w:rPr>
                <w:sz w:val="16"/>
                <w:szCs w:val="16"/>
              </w:rPr>
              <w:t xml:space="preserve">. </w:t>
            </w:r>
            <w:r w:rsidR="00C03D95" w:rsidRPr="00C03D95">
              <w:rPr>
                <w:sz w:val="16"/>
                <w:szCs w:val="16"/>
              </w:rPr>
              <w:t xml:space="preserve">Wóycicki R., Witkowicz J., Gawroński P., Dąbrowska J., Lomsadze A., Pawełkowicz M., Siedlecka E., Yagi K., Pląder W., Seroczyńska A., Śmiech M., Gutman W., </w:t>
            </w:r>
            <w:r>
              <w:rPr>
                <w:sz w:val="16"/>
                <w:szCs w:val="16"/>
              </w:rPr>
              <w:t>11</w:t>
            </w:r>
            <w:r w:rsidR="00C03D95">
              <w:rPr>
                <w:sz w:val="16"/>
                <w:szCs w:val="16"/>
              </w:rPr>
              <w:t xml:space="preserve">. </w:t>
            </w:r>
            <w:r w:rsidR="00C03D95" w:rsidRPr="00C03D95">
              <w:rPr>
                <w:sz w:val="16"/>
                <w:szCs w:val="16"/>
              </w:rPr>
              <w:t xml:space="preserve">Niemirowicz-Szczytt K., Bartoszewski G., Tagashira N., Hoshi Y., Borodovsky M., Karpiński S., Malepszy S., Przybecki Z. (2011). </w:t>
            </w:r>
            <w:r w:rsidR="00C03D95" w:rsidRPr="00E86FC0">
              <w:rPr>
                <w:sz w:val="16"/>
                <w:szCs w:val="16"/>
                <w:lang w:val="en-US"/>
              </w:rPr>
              <w:t xml:space="preserve">The genome sequence of the North-European cucumber (Cucumis sativus L.) unravels evolutionary adaptation mechanisms in plants. </w:t>
            </w:r>
            <w:r w:rsidR="00C03D95" w:rsidRPr="00C03D95">
              <w:rPr>
                <w:sz w:val="16"/>
                <w:szCs w:val="16"/>
              </w:rPr>
              <w:t>PLoS ONE 6(7): e22728.</w:t>
            </w:r>
          </w:p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5070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5070A" w:rsidRDefault="00D5070A" w:rsidP="00D507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D5070A" w:rsidRPr="00701DD3" w:rsidRDefault="00D5070A" w:rsidP="00D5070A">
            <w:pPr>
              <w:spacing w:line="240" w:lineRule="auto"/>
              <w:rPr>
                <w:sz w:val="20"/>
                <w:szCs w:val="20"/>
              </w:rPr>
            </w:pPr>
          </w:p>
          <w:p w:rsidR="00D5070A" w:rsidRPr="00701DD3" w:rsidRDefault="00D5070A" w:rsidP="00D5070A">
            <w:pPr>
              <w:spacing w:line="240" w:lineRule="auto"/>
              <w:rPr>
                <w:sz w:val="20"/>
                <w:szCs w:val="20"/>
              </w:rPr>
            </w:pPr>
          </w:p>
          <w:p w:rsidR="00D5070A" w:rsidRPr="00582090" w:rsidRDefault="00D5070A" w:rsidP="00D5070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B76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B76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86FC0" w:rsidRDefault="0093211F" w:rsidP="00E86FC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B17823" w:rsidRDefault="00B17823" w:rsidP="00B17823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17823">
              <w:rPr>
                <w:rFonts w:ascii="Arial" w:hAnsi="Arial" w:cs="Arial"/>
                <w:sz w:val="16"/>
                <w:szCs w:val="16"/>
              </w:rPr>
              <w:t>Student ma wiedzę na temat regulowania pozornie oddalonych procesów, takich jak: fotosynteza, śmierć komórki.</w:t>
            </w:r>
          </w:p>
          <w:p w:rsidR="00E86FC0" w:rsidRPr="00B17823" w:rsidRDefault="00B17823" w:rsidP="00B17823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17823">
              <w:rPr>
                <w:rFonts w:ascii="Arial" w:hAnsi="Arial" w:cs="Arial"/>
                <w:sz w:val="16"/>
                <w:szCs w:val="16"/>
              </w:rPr>
              <w:t xml:space="preserve">Student ma wiedzę w zakresie </w:t>
            </w:r>
            <w:r w:rsidR="00E86FC0" w:rsidRPr="00B17823">
              <w:rPr>
                <w:rFonts w:ascii="Arial" w:hAnsi="Arial" w:cs="Arial"/>
                <w:sz w:val="16"/>
                <w:szCs w:val="16"/>
              </w:rPr>
              <w:t>matematycznego modelowania i przedstawiania za pomocą wzorów matematycznych przebiegu procesów fizjologicznych w roślinie.</w:t>
            </w:r>
          </w:p>
        </w:tc>
        <w:tc>
          <w:tcPr>
            <w:tcW w:w="3001" w:type="dxa"/>
          </w:tcPr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2732F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K_W14 </w:t>
            </w:r>
          </w:p>
          <w:p w:rsidR="0093211F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</w:tc>
        <w:tc>
          <w:tcPr>
            <w:tcW w:w="1381" w:type="dxa"/>
          </w:tcPr>
          <w:p w:rsidR="0093211F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86FC0" w:rsidRPr="00FB1C10" w:rsidTr="0093211F">
        <w:tc>
          <w:tcPr>
            <w:tcW w:w="1547" w:type="dxa"/>
          </w:tcPr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E86FC0" w:rsidRPr="00B17823" w:rsidRDefault="00B17823" w:rsidP="00B17823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17823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E86FC0" w:rsidRPr="00B17823">
              <w:rPr>
                <w:rFonts w:ascii="Arial" w:hAnsi="Arial" w:cs="Arial"/>
                <w:sz w:val="16"/>
                <w:szCs w:val="16"/>
              </w:rPr>
              <w:t>kompletnie rozumie znaczenie holistycznego i systemowego podejścia do funkcjonowania roślin, poczynając od poziomu molekularnego, poprzez komórki, tkanki i organy, a na całym organizmie roślinnym kończąc.</w:t>
            </w:r>
          </w:p>
        </w:tc>
        <w:tc>
          <w:tcPr>
            <w:tcW w:w="3001" w:type="dxa"/>
          </w:tcPr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2273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22732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:rsidR="0022732F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K_U18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22732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E86FC0" w:rsidRPr="00E86FC0" w:rsidRDefault="0022732F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22732F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86FC0" w:rsidRPr="00FB1C10" w:rsidTr="0093211F">
        <w:tc>
          <w:tcPr>
            <w:tcW w:w="1547" w:type="dxa"/>
          </w:tcPr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color w:val="A6A6A6"/>
                <w:sz w:val="16"/>
                <w:szCs w:val="16"/>
              </w:rPr>
              <w:lastRenderedPageBreak/>
              <w:t xml:space="preserve">Kompetencje - </w:t>
            </w:r>
          </w:p>
        </w:tc>
        <w:tc>
          <w:tcPr>
            <w:tcW w:w="4563" w:type="dxa"/>
          </w:tcPr>
          <w:p w:rsidR="00E86FC0" w:rsidRPr="00B17823" w:rsidRDefault="00B17823" w:rsidP="00B17823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17823">
              <w:rPr>
                <w:rFonts w:ascii="Arial" w:hAnsi="Arial" w:cs="Arial"/>
                <w:sz w:val="16"/>
                <w:szCs w:val="16"/>
              </w:rPr>
              <w:t>Student ma świadomość społecznego znaczenia genetycznego doskonalenia roślin dla ulepszenia ich plonowania.</w:t>
            </w:r>
          </w:p>
        </w:tc>
        <w:tc>
          <w:tcPr>
            <w:tcW w:w="3001" w:type="dxa"/>
          </w:tcPr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22732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2732F" w:rsidRDefault="0022732F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22732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86F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17823" w:rsidRPr="00E86FC0" w:rsidRDefault="00B17823" w:rsidP="00B178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:rsidR="00E86FC0" w:rsidRPr="00E86FC0" w:rsidRDefault="0022732F" w:rsidP="0022732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86FC0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17823" w:rsidRDefault="00B17823" w:rsidP="00B1782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86FC0" w:rsidRPr="00E86FC0" w:rsidRDefault="00E86FC0" w:rsidP="00E86F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C0" w:rsidRDefault="003D00C0" w:rsidP="002C0CA5">
      <w:pPr>
        <w:spacing w:line="240" w:lineRule="auto"/>
      </w:pPr>
      <w:r>
        <w:separator/>
      </w:r>
    </w:p>
  </w:endnote>
  <w:endnote w:type="continuationSeparator" w:id="0">
    <w:p w:rsidR="003D00C0" w:rsidRDefault="003D00C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C0" w:rsidRDefault="003D00C0" w:rsidP="002C0CA5">
      <w:pPr>
        <w:spacing w:line="240" w:lineRule="auto"/>
      </w:pPr>
      <w:r>
        <w:separator/>
      </w:r>
    </w:p>
  </w:footnote>
  <w:footnote w:type="continuationSeparator" w:id="0">
    <w:p w:rsidR="003D00C0" w:rsidRDefault="003D00C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632C7"/>
    <w:multiLevelType w:val="hybridMultilevel"/>
    <w:tmpl w:val="98CC461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A25"/>
    <w:multiLevelType w:val="hybridMultilevel"/>
    <w:tmpl w:val="A1C20946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24331"/>
    <w:multiLevelType w:val="hybridMultilevel"/>
    <w:tmpl w:val="F4C6D5A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61FE3"/>
    <w:rsid w:val="000834BC"/>
    <w:rsid w:val="000C4232"/>
    <w:rsid w:val="001B2AEE"/>
    <w:rsid w:val="00207BBF"/>
    <w:rsid w:val="0022732F"/>
    <w:rsid w:val="002C0CA5"/>
    <w:rsid w:val="002E7DB5"/>
    <w:rsid w:val="002F41B5"/>
    <w:rsid w:val="00333004"/>
    <w:rsid w:val="00341D25"/>
    <w:rsid w:val="0036131B"/>
    <w:rsid w:val="003A474C"/>
    <w:rsid w:val="003B680D"/>
    <w:rsid w:val="003D00C0"/>
    <w:rsid w:val="00455A0E"/>
    <w:rsid w:val="004F5168"/>
    <w:rsid w:val="0050068B"/>
    <w:rsid w:val="00564842"/>
    <w:rsid w:val="006674DC"/>
    <w:rsid w:val="00684C46"/>
    <w:rsid w:val="006C766B"/>
    <w:rsid w:val="00703661"/>
    <w:rsid w:val="0072568B"/>
    <w:rsid w:val="00735F91"/>
    <w:rsid w:val="007B15AA"/>
    <w:rsid w:val="007B7613"/>
    <w:rsid w:val="007C4BF6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B2686"/>
    <w:rsid w:val="00B17823"/>
    <w:rsid w:val="00B24D45"/>
    <w:rsid w:val="00B2721F"/>
    <w:rsid w:val="00B36D67"/>
    <w:rsid w:val="00B6366C"/>
    <w:rsid w:val="00C03D95"/>
    <w:rsid w:val="00CD0414"/>
    <w:rsid w:val="00D5070A"/>
    <w:rsid w:val="00D527B8"/>
    <w:rsid w:val="00DA1BD4"/>
    <w:rsid w:val="00DE4020"/>
    <w:rsid w:val="00E15FE0"/>
    <w:rsid w:val="00E868E7"/>
    <w:rsid w:val="00E86FC0"/>
    <w:rsid w:val="00ED11F9"/>
    <w:rsid w:val="00EE4F54"/>
    <w:rsid w:val="00F03CFA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212C-09B9-4214-8D77-E549FCD8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1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2019-04-16T12:23:00Z</dcterms:created>
  <dcterms:modified xsi:type="dcterms:W3CDTF">2020-09-22T13:53:00Z</dcterms:modified>
</cp:coreProperties>
</file>