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2C2FED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850"/>
        <w:gridCol w:w="709"/>
        <w:gridCol w:w="992"/>
        <w:gridCol w:w="851"/>
        <w:gridCol w:w="567"/>
        <w:gridCol w:w="283"/>
        <w:gridCol w:w="808"/>
        <w:gridCol w:w="720"/>
      </w:tblGrid>
      <w:tr w:rsidR="002C2FED" w:rsidRPr="002C2FED" w:rsidTr="00BE36A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2FE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3" w:rsidRPr="002C2FED" w:rsidRDefault="00CD0413" w:rsidP="00CD0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FED">
              <w:rPr>
                <w:rFonts w:ascii="Arial" w:hAnsi="Arial" w:cs="Arial"/>
                <w:b/>
                <w:bCs/>
                <w:sz w:val="20"/>
                <w:szCs w:val="20"/>
              </w:rPr>
              <w:t>Kultury starterowe w przemyśle spożywczym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3" w:rsidRPr="002C2FED" w:rsidRDefault="00BE36A7" w:rsidP="00CD0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FED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3" w:rsidRPr="002C2FED" w:rsidRDefault="00CD0413" w:rsidP="00CD0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FE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Starter cultures in food industry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2C2FED" w:rsidRPr="002C2FED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C2FED" w:rsidRPr="002C2FED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3" w:rsidRPr="002C2FED" w:rsidRDefault="00CD0413" w:rsidP="00CD04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3" w:rsidRPr="002C2FED" w:rsidRDefault="00CD0413" w:rsidP="00CD041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C2FED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II</w:t>
            </w:r>
          </w:p>
        </w:tc>
      </w:tr>
      <w:tr w:rsidR="002C2FED" w:rsidRPr="002C2FED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3" w:rsidRPr="002C2FED" w:rsidRDefault="00CD0413" w:rsidP="00CD04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413" w:rsidRPr="002C2FED" w:rsidRDefault="00270F6E" w:rsidP="00CD041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13" w:rsidRPr="002C2FE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3" w:rsidRPr="002C2FED">
              <w:rPr>
                <w:sz w:val="20"/>
                <w:szCs w:val="16"/>
              </w:rPr>
              <w:t xml:space="preserve"> </w:t>
            </w:r>
            <w:r w:rsidR="00CD0413" w:rsidRPr="002C2FED">
              <w:rPr>
                <w:sz w:val="16"/>
                <w:szCs w:val="16"/>
              </w:rPr>
              <w:t>stacjonarne</w:t>
            </w:r>
          </w:p>
          <w:p w:rsidR="00CD0413" w:rsidRPr="002C2FED" w:rsidRDefault="00270F6E" w:rsidP="00CD0413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13" w:rsidRPr="002C2F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3" w:rsidRPr="002C2FED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3" w:rsidRPr="002C2FED" w:rsidRDefault="00CD0413" w:rsidP="00CD041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2C2FE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3" w:rsidRPr="002C2FED" w:rsidRDefault="00270F6E" w:rsidP="00CD041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13" w:rsidRPr="002C2F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3" w:rsidRPr="002C2FED">
              <w:rPr>
                <w:sz w:val="16"/>
                <w:szCs w:val="16"/>
              </w:rPr>
              <w:t xml:space="preserve"> p</w:t>
            </w:r>
            <w:r w:rsidR="00CD0413" w:rsidRPr="002C2FED">
              <w:rPr>
                <w:bCs/>
                <w:sz w:val="16"/>
                <w:szCs w:val="16"/>
              </w:rPr>
              <w:t>odstawowe</w:t>
            </w:r>
          </w:p>
          <w:p w:rsidR="00CD0413" w:rsidRPr="002C2FED" w:rsidRDefault="00270F6E" w:rsidP="00CD041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AC" w:rsidRPr="002C2FE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3" w:rsidRPr="002C2FED">
              <w:rPr>
                <w:sz w:val="16"/>
                <w:szCs w:val="16"/>
              </w:rPr>
              <w:t xml:space="preserve"> </w:t>
            </w:r>
            <w:r w:rsidR="00CD0413" w:rsidRPr="002C2FE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413" w:rsidRPr="002C2FED" w:rsidRDefault="00270F6E" w:rsidP="00CD041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AC" w:rsidRPr="002C2FE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D0413" w:rsidRPr="002C2FED">
              <w:rPr>
                <w:bCs/>
                <w:sz w:val="16"/>
                <w:szCs w:val="16"/>
              </w:rPr>
              <w:t xml:space="preserve"> obowiązkowe </w:t>
            </w:r>
          </w:p>
          <w:p w:rsidR="00CD0413" w:rsidRPr="002C2FED" w:rsidRDefault="00270F6E" w:rsidP="00CD041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13" w:rsidRPr="002C2FE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D0413" w:rsidRPr="002C2FE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3" w:rsidRPr="002C2FED" w:rsidRDefault="00CD0413" w:rsidP="00CD0413">
            <w:pPr>
              <w:spacing w:line="240" w:lineRule="auto"/>
              <w:rPr>
                <w:bCs/>
                <w:sz w:val="16"/>
                <w:szCs w:val="16"/>
              </w:rPr>
            </w:pPr>
            <w:r w:rsidRPr="002C2FED">
              <w:rPr>
                <w:bCs/>
                <w:sz w:val="16"/>
                <w:szCs w:val="16"/>
              </w:rPr>
              <w:t>Numer semestru: ……</w:t>
            </w:r>
            <w:r w:rsidR="008005AC" w:rsidRPr="002C2FED">
              <w:rPr>
                <w:bCs/>
                <w:sz w:val="16"/>
                <w:szCs w:val="16"/>
              </w:rPr>
              <w:t>I</w:t>
            </w:r>
            <w:r w:rsidRPr="002C2FED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3" w:rsidRPr="002C2FED" w:rsidRDefault="00270F6E" w:rsidP="00CD041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13" w:rsidRPr="002C2F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3" w:rsidRPr="002C2FED">
              <w:rPr>
                <w:sz w:val="16"/>
                <w:szCs w:val="16"/>
              </w:rPr>
              <w:t xml:space="preserve"> </w:t>
            </w:r>
            <w:r w:rsidR="00CD0413" w:rsidRPr="002C2FED">
              <w:rPr>
                <w:bCs/>
                <w:sz w:val="16"/>
                <w:szCs w:val="16"/>
              </w:rPr>
              <w:t>semestr  zimowy</w:t>
            </w:r>
            <w:r w:rsidR="00CD0413" w:rsidRPr="002C2FED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AC" w:rsidRPr="002C2FE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3" w:rsidRPr="002C2FED">
              <w:rPr>
                <w:sz w:val="16"/>
                <w:szCs w:val="16"/>
              </w:rPr>
              <w:t xml:space="preserve"> </w:t>
            </w:r>
            <w:r w:rsidR="00CD0413" w:rsidRPr="002C2FED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2C2FED" w:rsidRPr="002C2FED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3" w:rsidRPr="002C2FED" w:rsidRDefault="00CD0413" w:rsidP="00CD041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3" w:rsidRPr="002C2FED" w:rsidRDefault="00CD0413" w:rsidP="00CD041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3" w:rsidRPr="002C2FED" w:rsidRDefault="00CD0413" w:rsidP="00CD04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3" w:rsidRPr="002C2FED" w:rsidRDefault="002C2FED" w:rsidP="00CD041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3" w:rsidRPr="002C2FED" w:rsidRDefault="00CD0413" w:rsidP="00CD041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3" w:rsidRPr="002C2FED" w:rsidRDefault="00BE36A7" w:rsidP="00CD041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C2FED">
              <w:rPr>
                <w:b/>
                <w:sz w:val="16"/>
                <w:szCs w:val="16"/>
              </w:rPr>
              <w:t>OGR_BT-2S-1L-14</w:t>
            </w:r>
          </w:p>
        </w:tc>
      </w:tr>
      <w:tr w:rsidR="002C2FED" w:rsidRPr="002C2FED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bCs/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sv-SE"/>
              </w:rPr>
              <w:t>Dr inż. Anna Berthold-Pluta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bCs/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en-US"/>
              </w:rPr>
              <w:t xml:space="preserve">Dr inż. Anna Berthold-Pluta, dr hab. </w:t>
            </w:r>
            <w:r w:rsidRPr="002C2FED">
              <w:rPr>
                <w:rFonts w:ascii="Arial" w:hAnsi="Arial" w:cs="Arial"/>
                <w:sz w:val="16"/>
                <w:szCs w:val="16"/>
              </w:rPr>
              <w:t>Małgorzata Ziarno, dr hab. Antoni Pluta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bCs/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2C2FED" w:rsidP="00CD0413">
            <w:pPr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Instytut</w:t>
            </w:r>
            <w:r w:rsidR="00CD0413" w:rsidRPr="002C2FED">
              <w:rPr>
                <w:rFonts w:ascii="Arial" w:hAnsi="Arial" w:cs="Arial"/>
                <w:sz w:val="16"/>
                <w:szCs w:val="16"/>
              </w:rPr>
              <w:t xml:space="preserve"> Nauk o Żywności, Katedra Biotechnologii, Mikrobiologii i Oceny Żywności </w:t>
            </w:r>
          </w:p>
          <w:p w:rsidR="00CD0413" w:rsidRPr="002C2FED" w:rsidRDefault="00CD0413" w:rsidP="00CD0413">
            <w:pPr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Zakład Biotechnologii Mleka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2C2FED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2C2F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W</w:t>
            </w:r>
            <w:r w:rsidR="002C2FED" w:rsidRPr="002C2FED">
              <w:rPr>
                <w:rFonts w:ascii="Arial" w:hAnsi="Arial" w:cs="Arial"/>
                <w:sz w:val="16"/>
                <w:szCs w:val="16"/>
              </w:rPr>
              <w:t>ydział Ogrodnictwa i Biotechnologii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Zapoznanie studentów z charakterystyką kultur starterowych i ich zastosowaniem w różnych branżach przemysłu spożywczego, a także z technologią otrzymywania różnych form kultur starterowych oraz metodami oceny ich jakości</w:t>
            </w:r>
          </w:p>
          <w:p w:rsidR="00CD0413" w:rsidRPr="002C2FED" w:rsidRDefault="00CD0413" w:rsidP="00CD041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Wykłady. (</w:t>
            </w:r>
            <w:r w:rsidRPr="002C2FED">
              <w:rPr>
                <w:rFonts w:ascii="Arial" w:hAnsi="Arial" w:cs="Arial"/>
                <w:bCs/>
                <w:sz w:val="16"/>
                <w:szCs w:val="16"/>
              </w:rPr>
              <w:t>1) Ogólna charakterystyka kultur starterowych, (2) Zasady hodowli biomasy w produkcji różnych form kultur starterowych, (3) Zasady prowadzenia zakwasów z kultur starterowych, (4) Kultury starterowe w mleczarstwie, przemyśle mięsnym, piekarskim, winiarskim, gorzelniczym, piwowarskim i owocowo-warzywnym, Kultury ochronne w przemyśle spożywczym, (5) Kultury probiotyczne, (6) Znaczenie bakteriofagów dla jakości kultur starterowych i produktów fermentowanych, (7) Ocena jakości kultur starterowych i zakwasów</w:t>
            </w:r>
            <w:r w:rsidRPr="002C2FE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(1) </w:t>
            </w:r>
            <w:r w:rsidRPr="002C2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2FED">
              <w:rPr>
                <w:rFonts w:ascii="Arial" w:hAnsi="Arial" w:cs="Arial"/>
                <w:bCs/>
                <w:sz w:val="16"/>
                <w:szCs w:val="16"/>
              </w:rPr>
              <w:t>Wpływ obecności substancji hamujących na mikroflorę kultur starterowych; (2) Antagonistyczna aktywność kultur starterowych wobec bakterii chorobotwórczych; (3) Dynamika wzrostu i aktywność kwasząca wybranych kultur starterowych; (4) Technologiczne wykorzystanie kultur starterowych w otrzymywaniu mlecznych produktów fermentowanych (napoje fermentowane, sery), (5) Mikroskopowa analiza wybranych kultur starterowych. Zaliczenie końcowe</w:t>
            </w:r>
          </w:p>
        </w:tc>
      </w:tr>
      <w:tr w:rsidR="002C2FED" w:rsidRPr="002C2FED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Wykład</w:t>
            </w:r>
            <w:r w:rsidRPr="002C2FED">
              <w:rPr>
                <w:sz w:val="16"/>
                <w:szCs w:val="16"/>
              </w:rPr>
              <w:t xml:space="preserve"> ………………………………………………………………………;  liczba godzin ...15....;  </w:t>
            </w:r>
          </w:p>
          <w:p w:rsidR="00CD0413" w:rsidRPr="002C2FED" w:rsidRDefault="00CD0413" w:rsidP="00CD041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Ćwiczenia laboratoryjne .</w:t>
            </w:r>
            <w:r w:rsidRPr="002C2FED">
              <w:rPr>
                <w:sz w:val="16"/>
                <w:szCs w:val="16"/>
              </w:rPr>
              <w:t xml:space="preserve">…………………………………………;  liczba godzin ...15....;  </w:t>
            </w:r>
          </w:p>
        </w:tc>
      </w:tr>
      <w:tr w:rsidR="002C2FED" w:rsidRPr="002C2FED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wykład,  doświadczenie/eks</w:t>
            </w:r>
            <w:r w:rsidR="002C2FED" w:rsidRPr="002C2FED">
              <w:rPr>
                <w:rFonts w:ascii="Arial" w:hAnsi="Arial" w:cs="Arial"/>
                <w:sz w:val="16"/>
                <w:szCs w:val="16"/>
              </w:rPr>
              <w:t xml:space="preserve">peryment, dyskusja, konsultacje, </w:t>
            </w:r>
            <w:r w:rsidR="002C2FED" w:rsidRPr="002C2FED">
              <w:t xml:space="preserve"> </w:t>
            </w:r>
            <w:r w:rsidR="002C2FED" w:rsidRPr="002C2FED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 xml:space="preserve">Wymagania formalne </w:t>
            </w:r>
          </w:p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Wymagania formalne: mikrobiologia, technologia spożywcza, założenia wstępne: Student posiada wiedzę z zakresu składu, charakterystyki i wymagań dla kultur starterowych stosowanych w poszczególnych branżach przemysłu spożywczego</w:t>
            </w:r>
          </w:p>
        </w:tc>
      </w:tr>
      <w:tr w:rsidR="002C2FED" w:rsidRPr="002C2FED" w:rsidTr="00BE36A7">
        <w:trPr>
          <w:trHeight w:val="907"/>
        </w:trPr>
        <w:tc>
          <w:tcPr>
            <w:tcW w:w="2480" w:type="dxa"/>
            <w:gridSpan w:val="2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bCs/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Efekty uczenia się:</w:t>
            </w:r>
          </w:p>
        </w:tc>
        <w:tc>
          <w:tcPr>
            <w:tcW w:w="3260" w:type="dxa"/>
            <w:gridSpan w:val="3"/>
            <w:vAlign w:val="center"/>
          </w:tcPr>
          <w:p w:rsidR="00CD0413" w:rsidRPr="002C2FED" w:rsidRDefault="00CD0413" w:rsidP="00CD04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Wiedza: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2"/>
              </w:numPr>
              <w:tabs>
                <w:tab w:val="left" w:pos="37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zna definicję i cel stosowania kultur starterowych w poszczególnych branżach przemysłu spożywczego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2"/>
              </w:numPr>
              <w:tabs>
                <w:tab w:val="left" w:pos="37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wie, jakie drobnoustroje wchodzą w skład kultur starterowych przeznaczonych do otrzymywania różnych produktów fermentowanych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2"/>
              </w:numPr>
              <w:tabs>
                <w:tab w:val="left" w:pos="37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potrafi scharakteryzować różne sposoby dodatku kultur starterowych w technologii wybranych produktów fermentowanych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2"/>
              </w:numPr>
              <w:tabs>
                <w:tab w:val="left" w:pos="37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zna pojęcia kultury podstawowej, dodatkowej, probiotycznej i ochronnej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2"/>
              </w:numPr>
              <w:tabs>
                <w:tab w:val="left" w:pos="37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zna technologie otrzymywania kultur starterowych i zakwasów</w:t>
            </w:r>
          </w:p>
          <w:p w:rsidR="00CD0413" w:rsidRPr="002C2FED" w:rsidRDefault="00BE36A7" w:rsidP="00BE36A7">
            <w:pPr>
              <w:pStyle w:val="Akapitzlist"/>
              <w:numPr>
                <w:ilvl w:val="0"/>
                <w:numId w:val="2"/>
              </w:numPr>
              <w:tabs>
                <w:tab w:val="left" w:pos="37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zna pojęcie bakteriofagów, ich wpływ na jakość kultur starterowych oraz metody zapobiegania infekcjom fagowym w przemyśle mleczarskim</w:t>
            </w:r>
          </w:p>
        </w:tc>
        <w:tc>
          <w:tcPr>
            <w:tcW w:w="2552" w:type="dxa"/>
            <w:gridSpan w:val="3"/>
            <w:vAlign w:val="center"/>
          </w:tcPr>
          <w:p w:rsidR="00CD0413" w:rsidRPr="002C2FED" w:rsidRDefault="00CD0413" w:rsidP="00CD04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Umiejętności:</w:t>
            </w:r>
          </w:p>
          <w:p w:rsidR="00CD0413" w:rsidRPr="002C2FED" w:rsidRDefault="00BE36A7" w:rsidP="00CD041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U1 potrafi ocenić jakość (np. aktywność kwaszącą) szczepionek przemysłowych</w:t>
            </w:r>
            <w:r w:rsidRPr="002C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8" w:type="dxa"/>
            <w:gridSpan w:val="4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bCs/>
                <w:sz w:val="16"/>
                <w:szCs w:val="16"/>
              </w:rPr>
            </w:pPr>
            <w:r w:rsidRPr="002C2FED">
              <w:rPr>
                <w:bCs/>
                <w:sz w:val="16"/>
                <w:szCs w:val="16"/>
              </w:rPr>
              <w:t>Kompetencje: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……………………..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……………………..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C2FED" w:rsidRPr="002C2FED" w:rsidTr="00CD0413">
        <w:trPr>
          <w:trHeight w:val="57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BE36A7" w:rsidRPr="002C2FED">
              <w:rPr>
                <w:rFonts w:ascii="Arial" w:hAnsi="Arial" w:cs="Arial"/>
                <w:sz w:val="16"/>
                <w:szCs w:val="16"/>
              </w:rPr>
              <w:t>W</w:t>
            </w:r>
            <w:r w:rsidRPr="002C2FED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BE36A7" w:rsidRPr="002C2FED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2C2FED">
              <w:rPr>
                <w:rFonts w:ascii="Arial" w:hAnsi="Arial" w:cs="Arial"/>
                <w:sz w:val="16"/>
                <w:szCs w:val="16"/>
              </w:rPr>
              <w:t xml:space="preserve">- sprawozdania z zajęć laboratoryjnych </w:t>
            </w:r>
          </w:p>
          <w:p w:rsidR="00CD0413" w:rsidRPr="002C2FED" w:rsidRDefault="00CD0413" w:rsidP="00BE36A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BE36A7" w:rsidRPr="002C2FED">
              <w:rPr>
                <w:rFonts w:ascii="Arial" w:hAnsi="Arial" w:cs="Arial"/>
                <w:sz w:val="16"/>
                <w:szCs w:val="16"/>
              </w:rPr>
              <w:t>W1-6, U1</w:t>
            </w:r>
            <w:r w:rsidRPr="002C2FED">
              <w:rPr>
                <w:rFonts w:ascii="Arial" w:hAnsi="Arial" w:cs="Arial"/>
                <w:sz w:val="16"/>
                <w:szCs w:val="16"/>
              </w:rPr>
              <w:t xml:space="preserve"> - egzamin pisemny </w:t>
            </w:r>
            <w:r w:rsidR="002C2FED" w:rsidRPr="002C2FED">
              <w:rPr>
                <w:rFonts w:ascii="Arial" w:hAnsi="Arial" w:cs="Arial"/>
                <w:sz w:val="16"/>
                <w:szCs w:val="16"/>
              </w:rPr>
              <w:t>–</w:t>
            </w:r>
            <w:r w:rsidRPr="002C2F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C2FED" w:rsidRPr="002C2FED" w:rsidRDefault="002C2FED" w:rsidP="00BE36A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2C2FED" w:rsidRPr="002C2FED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Imienna karta oceny studenta, okresowe prace pisemnie, treść pytań egzaminacyjnych z oceną</w:t>
            </w:r>
            <w:r w:rsidR="002C2FED" w:rsidRPr="002C2FE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C2FED" w:rsidRPr="002C2FED">
              <w:t xml:space="preserve"> </w:t>
            </w:r>
            <w:r w:rsidR="002C2FED" w:rsidRPr="002C2FED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2C2FED" w:rsidRPr="002C2FED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</w:rPr>
            </w:pPr>
            <w:r w:rsidRPr="002C2FED">
              <w:rPr>
                <w:sz w:val="16"/>
                <w:szCs w:val="16"/>
              </w:rPr>
              <w:lastRenderedPageBreak/>
              <w:t>Elementy i wagi mające wpływ</w:t>
            </w:r>
          </w:p>
          <w:p w:rsidR="00CD0413" w:rsidRPr="002C2FED" w:rsidRDefault="00CD0413" w:rsidP="00CD041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2C2FE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Na ocenę efektów kształcenia składa się: 1 - ocena ze sprawozdań z ćwiczeń laboratoryjnych, 2 - ocena z egzaminu pisemnego. Za każdy z elementów można maksymalnie uzyskać 25 punktów. Waga każdego z elementów: 1 - 25%, 2 – 75%. Warunkiem zaliczenia przedmiotu jest uzyskanie z elementu 1 i 2 min. 51% 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2C2FED" w:rsidRPr="002C2FE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2C2FE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sale dydaktyczne</w:t>
            </w:r>
          </w:p>
        </w:tc>
      </w:tr>
      <w:tr w:rsidR="002C2FED" w:rsidRPr="002C2F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en-US"/>
              </w:rPr>
              <w:t>Literatura podstawowa i uzupełniająca</w:t>
            </w:r>
            <w:r w:rsidRPr="002C2FE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23)</w:t>
            </w:r>
            <w:r w:rsidRPr="002C2FE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de-DE"/>
              </w:rPr>
              <w:t xml:space="preserve">Farnworth E.R. (2003): Handbook of Fermented Functional Foods, CRC Press London. 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de-DE"/>
              </w:rPr>
              <w:t xml:space="preserve">Salminen S., von Wright A., Ouwehand A. (2004): Lactic Acid Bacteria. Microbiological and Functional Aspects, Marcel Dekker Inc. New York. 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de-DE"/>
              </w:rPr>
              <w:t xml:space="preserve">Bednarski W., Reps A. (2003): Biotechnologia Żywności, WNT Warszawa. 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de-DE"/>
              </w:rPr>
              <w:t>Ziarno M. (2005): Kultury starterowe w przetwórstwie żywności pochodzenia roślinnego, Przem. Spoż. 11, 28-30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de-DE"/>
              </w:rPr>
              <w:t>Ziarno M. (2005): Kultury starterowe w przetwórstwie żywności pochodzenia zwierzęcego, Przem. Spoż. 4, 24-27, 52</w:t>
            </w:r>
          </w:p>
          <w:p w:rsidR="00CD0413" w:rsidRPr="002C2FED" w:rsidRDefault="00CD0413" w:rsidP="00CD04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de-DE"/>
              </w:rPr>
              <w:t>Ziarno M. (2007): Charakterystyka komercyjnych kultur starterowych stosowanych w przemyśle mleczarskim,  Med. Wet. 63(8), 909-913</w:t>
            </w:r>
          </w:p>
          <w:p w:rsidR="00CD0413" w:rsidRPr="002C2FED" w:rsidRDefault="00CD0413" w:rsidP="00CD0413">
            <w:pPr>
              <w:spacing w:line="240" w:lineRule="auto"/>
              <w:ind w:right="-447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  <w:lang w:val="de-DE"/>
              </w:rPr>
              <w:t>Ziarno M. (2006): Kultury ochronne w technologii mleczarskiej, Przegląd Mlecz. 5, 8-10</w:t>
            </w:r>
          </w:p>
        </w:tc>
      </w:tr>
      <w:tr w:rsidR="002C2FED" w:rsidRPr="002C2F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D0413" w:rsidRPr="002C2FED" w:rsidRDefault="00CD0413" w:rsidP="00CD041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2C2FED">
              <w:rPr>
                <w:sz w:val="16"/>
                <w:szCs w:val="16"/>
              </w:rPr>
              <w:t>UWAGI</w:t>
            </w:r>
            <w:r w:rsidRPr="002C2FED">
              <w:rPr>
                <w:sz w:val="16"/>
                <w:szCs w:val="16"/>
                <w:vertAlign w:val="superscript"/>
              </w:rPr>
              <w:t xml:space="preserve"> </w:t>
            </w:r>
            <w:r w:rsidRPr="002C2FED"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</w:t>
            </w:r>
          </w:p>
          <w:p w:rsidR="00CD0413" w:rsidRPr="002C2FED" w:rsidRDefault="00CD0413" w:rsidP="00CD041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90-81% pkt -  4,5,                                                    80-71% pkt -  4,0     </w:t>
            </w:r>
          </w:p>
          <w:p w:rsidR="00CD0413" w:rsidRPr="002C2FED" w:rsidRDefault="00CD0413" w:rsidP="00CD0413">
            <w:pPr>
              <w:spacing w:line="240" w:lineRule="auto"/>
              <w:rPr>
                <w:sz w:val="20"/>
                <w:szCs w:val="20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3,5,                                                     60-51% pkt -  3,0</w:t>
            </w:r>
          </w:p>
        </w:tc>
      </w:tr>
    </w:tbl>
    <w:p w:rsidR="00ED11F9" w:rsidRPr="002C2FED" w:rsidRDefault="00ED11F9" w:rsidP="00ED11F9">
      <w:pPr>
        <w:rPr>
          <w:sz w:val="16"/>
        </w:rPr>
      </w:pPr>
      <w:r w:rsidRPr="002C2FED">
        <w:rPr>
          <w:sz w:val="16"/>
        </w:rPr>
        <w:br/>
      </w:r>
    </w:p>
    <w:p w:rsidR="00ED11F9" w:rsidRPr="002C2FED" w:rsidRDefault="00ED11F9" w:rsidP="00ED11F9">
      <w:pPr>
        <w:rPr>
          <w:sz w:val="16"/>
        </w:rPr>
      </w:pPr>
      <w:r w:rsidRPr="002C2FED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2C2FED" w:rsidRPr="002C2FED" w:rsidTr="006478A0">
        <w:trPr>
          <w:trHeight w:val="536"/>
        </w:trPr>
        <w:tc>
          <w:tcPr>
            <w:tcW w:w="9070" w:type="dxa"/>
            <w:vAlign w:val="center"/>
          </w:tcPr>
          <w:p w:rsidR="00ED11F9" w:rsidRPr="002C2FED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2C2FED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2C2FED">
              <w:rPr>
                <w:bCs/>
                <w:sz w:val="18"/>
                <w:szCs w:val="18"/>
              </w:rPr>
              <w:t xml:space="preserve"> dla zajęć</w:t>
            </w:r>
            <w:r w:rsidRPr="002C2FED">
              <w:rPr>
                <w:bCs/>
                <w:sz w:val="18"/>
                <w:szCs w:val="18"/>
              </w:rPr>
              <w:t xml:space="preserve"> efektów </w:t>
            </w:r>
            <w:r w:rsidR="008F7E6F" w:rsidRPr="002C2FED">
              <w:rPr>
                <w:bCs/>
                <w:sz w:val="18"/>
                <w:szCs w:val="18"/>
              </w:rPr>
              <w:t>uczenia się</w:t>
            </w:r>
            <w:r w:rsidRPr="002C2FED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2C2FED" w:rsidRDefault="0096182F" w:rsidP="006478A0">
            <w:pPr>
              <w:rPr>
                <w:b/>
                <w:bCs/>
                <w:sz w:val="18"/>
                <w:szCs w:val="18"/>
              </w:rPr>
            </w:pPr>
            <w:r w:rsidRPr="002C2FED">
              <w:rPr>
                <w:b/>
                <w:bCs/>
                <w:sz w:val="18"/>
                <w:szCs w:val="18"/>
              </w:rPr>
              <w:t>76</w:t>
            </w:r>
            <w:r w:rsidR="00ED11F9" w:rsidRPr="002C2FED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2C2FED" w:rsidRPr="002C2FED" w:rsidTr="006478A0">
        <w:trPr>
          <w:trHeight w:val="476"/>
        </w:trPr>
        <w:tc>
          <w:tcPr>
            <w:tcW w:w="9070" w:type="dxa"/>
            <w:vAlign w:val="center"/>
          </w:tcPr>
          <w:p w:rsidR="00ED11F9" w:rsidRPr="002C2FED" w:rsidRDefault="00ED11F9" w:rsidP="006478A0">
            <w:pPr>
              <w:rPr>
                <w:bCs/>
                <w:sz w:val="18"/>
                <w:szCs w:val="18"/>
              </w:rPr>
            </w:pPr>
            <w:r w:rsidRPr="002C2FED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2C2FED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2C2FE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2C2FED" w:rsidRDefault="0096182F" w:rsidP="006478A0">
            <w:pPr>
              <w:rPr>
                <w:b/>
                <w:bCs/>
                <w:sz w:val="18"/>
                <w:szCs w:val="18"/>
              </w:rPr>
            </w:pPr>
            <w:r w:rsidRPr="002C2FED">
              <w:rPr>
                <w:b/>
                <w:bCs/>
                <w:sz w:val="18"/>
                <w:szCs w:val="18"/>
              </w:rPr>
              <w:t>1,5</w:t>
            </w:r>
            <w:r w:rsidR="00ED11F9" w:rsidRPr="002C2FED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2C2FED" w:rsidRDefault="00ED11F9" w:rsidP="00ED11F9"/>
    <w:p w:rsidR="00ED11F9" w:rsidRPr="002C2FED" w:rsidRDefault="00ED11F9" w:rsidP="00ED11F9">
      <w:pPr>
        <w:rPr>
          <w:sz w:val="16"/>
        </w:rPr>
      </w:pPr>
      <w:r w:rsidRPr="002C2FED">
        <w:rPr>
          <w:sz w:val="18"/>
        </w:rPr>
        <w:t xml:space="preserve">Tabela zgodności kierunkowych efektów </w:t>
      </w:r>
      <w:r w:rsidR="00EE4F54" w:rsidRPr="002C2FED">
        <w:rPr>
          <w:sz w:val="18"/>
        </w:rPr>
        <w:t>uczenia się</w:t>
      </w:r>
      <w:r w:rsidRPr="002C2FED">
        <w:rPr>
          <w:sz w:val="18"/>
        </w:rPr>
        <w:t xml:space="preserve"> z efektami przedmiotu:</w:t>
      </w:r>
    </w:p>
    <w:p w:rsidR="00ED11F9" w:rsidRPr="002C2FED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2C2FED" w:rsidRPr="002C2FED" w:rsidTr="0093211F">
        <w:tc>
          <w:tcPr>
            <w:tcW w:w="1547" w:type="dxa"/>
          </w:tcPr>
          <w:p w:rsidR="0093211F" w:rsidRPr="002C2FE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2C2FE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2C2FE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2C2FED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2C2FED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2C2FED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2C2FED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2C2FED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2C2FED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2C2FED" w:rsidRPr="002C2FED" w:rsidTr="0093211F">
        <w:tc>
          <w:tcPr>
            <w:tcW w:w="1547" w:type="dxa"/>
          </w:tcPr>
          <w:p w:rsidR="0093211F" w:rsidRPr="002C2FED" w:rsidRDefault="0093211F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BE36A7" w:rsidRPr="002C2FED" w:rsidRDefault="00BE36A7" w:rsidP="00BE36A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zna definicję i cel stosowania kultur starterowych w poszczególnych branżach przemysłu spożywczego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wie, jakie drobnoustroje wchodzą w skład kultur starterowych przeznaczonych do otrzymywania różnych produktów fermentowanych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potrafi scharakteryzować różne sposoby dodatku kultur starterowych w technologii wybranych produktów fermentowanych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zna pojęcia kultury podstawowej, dodatkowej, probiotycznej i ochronnej</w:t>
            </w:r>
          </w:p>
          <w:p w:rsidR="0093211F" w:rsidRPr="002C2FED" w:rsidRDefault="00BE36A7" w:rsidP="00BE36A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zna technologie otrzymywania kultur starterowych i zakwasów</w:t>
            </w:r>
          </w:p>
          <w:p w:rsidR="00BE36A7" w:rsidRPr="002C2FED" w:rsidRDefault="00BE36A7" w:rsidP="00BE36A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zna pojęcie bakteriofagów, ich wpływ na jakość kultur starterowych oraz metody zapobiegania infekcjom fagowym w przemyśle mleczarskim</w:t>
            </w:r>
          </w:p>
        </w:tc>
        <w:tc>
          <w:tcPr>
            <w:tcW w:w="3001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2C2FED" w:rsidRDefault="0093211F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2C2FED" w:rsidRPr="002C2FED" w:rsidTr="0093211F">
        <w:tc>
          <w:tcPr>
            <w:tcW w:w="1547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BE36A7" w:rsidRPr="002C2FED" w:rsidRDefault="00BE36A7" w:rsidP="00BE36A7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C2FED">
              <w:rPr>
                <w:rFonts w:ascii="Arial" w:hAnsi="Arial" w:cs="Arial"/>
                <w:sz w:val="16"/>
                <w:szCs w:val="16"/>
              </w:rPr>
              <w:t>potrafi ocenić jakość (np. aktywność kwaszącą) szczepionek przemysłowych</w:t>
            </w:r>
          </w:p>
        </w:tc>
        <w:tc>
          <w:tcPr>
            <w:tcW w:w="3001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C2FED" w:rsidRPr="002C2FED" w:rsidTr="0093211F">
        <w:tc>
          <w:tcPr>
            <w:tcW w:w="1547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2FED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E36A7" w:rsidRPr="002C2FED" w:rsidRDefault="00BE36A7" w:rsidP="00BE36A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3211F" w:rsidRPr="002C2FE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2C2FE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C2FED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2C2FE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C2FED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2C2FED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2C2FED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2C2FE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C2FED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2C2FED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2C2FED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2C2FE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C2FED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:rsidR="00B2721F" w:rsidRPr="002C2FED" w:rsidRDefault="00B2721F"/>
    <w:sectPr w:rsidR="00B2721F" w:rsidRPr="002C2F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6E" w:rsidRDefault="00270F6E" w:rsidP="002C0CA5">
      <w:pPr>
        <w:spacing w:line="240" w:lineRule="auto"/>
      </w:pPr>
      <w:r>
        <w:separator/>
      </w:r>
    </w:p>
  </w:endnote>
  <w:endnote w:type="continuationSeparator" w:id="0">
    <w:p w:rsidR="00270F6E" w:rsidRDefault="00270F6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6E" w:rsidRDefault="00270F6E" w:rsidP="002C0CA5">
      <w:pPr>
        <w:spacing w:line="240" w:lineRule="auto"/>
      </w:pPr>
      <w:r>
        <w:separator/>
      </w:r>
    </w:p>
  </w:footnote>
  <w:footnote w:type="continuationSeparator" w:id="0">
    <w:p w:rsidR="00270F6E" w:rsidRDefault="00270F6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93E"/>
    <w:multiLevelType w:val="hybridMultilevel"/>
    <w:tmpl w:val="188E6742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7EB"/>
    <w:multiLevelType w:val="hybridMultilevel"/>
    <w:tmpl w:val="188E6742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126DD"/>
    <w:multiLevelType w:val="hybridMultilevel"/>
    <w:tmpl w:val="63E25E3C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02C1"/>
    <w:rsid w:val="000834BC"/>
    <w:rsid w:val="000C4232"/>
    <w:rsid w:val="00207BBF"/>
    <w:rsid w:val="00270F6E"/>
    <w:rsid w:val="0029362C"/>
    <w:rsid w:val="002C0CA5"/>
    <w:rsid w:val="002C2FED"/>
    <w:rsid w:val="002E7DB5"/>
    <w:rsid w:val="002F41B5"/>
    <w:rsid w:val="00333004"/>
    <w:rsid w:val="00341D25"/>
    <w:rsid w:val="0036131B"/>
    <w:rsid w:val="003B680D"/>
    <w:rsid w:val="003D7C7E"/>
    <w:rsid w:val="00455A0E"/>
    <w:rsid w:val="004F5168"/>
    <w:rsid w:val="005354E1"/>
    <w:rsid w:val="00564842"/>
    <w:rsid w:val="006469D5"/>
    <w:rsid w:val="006674DC"/>
    <w:rsid w:val="006C766B"/>
    <w:rsid w:val="00703661"/>
    <w:rsid w:val="0072568B"/>
    <w:rsid w:val="00735F91"/>
    <w:rsid w:val="007B15AA"/>
    <w:rsid w:val="007D736E"/>
    <w:rsid w:val="008005AC"/>
    <w:rsid w:val="00827E4E"/>
    <w:rsid w:val="00860FAB"/>
    <w:rsid w:val="008C5679"/>
    <w:rsid w:val="008F7E6F"/>
    <w:rsid w:val="00925376"/>
    <w:rsid w:val="00927EAA"/>
    <w:rsid w:val="0093211F"/>
    <w:rsid w:val="0096182F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6366C"/>
    <w:rsid w:val="00BE36A7"/>
    <w:rsid w:val="00BF077D"/>
    <w:rsid w:val="00C64721"/>
    <w:rsid w:val="00CD0413"/>
    <w:rsid w:val="00CD0414"/>
    <w:rsid w:val="00D527B8"/>
    <w:rsid w:val="00DA1BD4"/>
    <w:rsid w:val="00DA7AF7"/>
    <w:rsid w:val="00E868E7"/>
    <w:rsid w:val="00ED11F9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6CC0-7719-47B2-88CA-5A936CE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BE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2019-04-25T09:42:00Z</dcterms:created>
  <dcterms:modified xsi:type="dcterms:W3CDTF">2020-09-21T15:50:00Z</dcterms:modified>
</cp:coreProperties>
</file>