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EF" w:rsidRDefault="00F610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1700"/>
        <w:gridCol w:w="1984"/>
        <w:gridCol w:w="2409"/>
        <w:gridCol w:w="992"/>
        <w:gridCol w:w="567"/>
        <w:gridCol w:w="1416"/>
        <w:gridCol w:w="648"/>
      </w:tblGrid>
      <w:tr w:rsidR="00F610EF">
        <w:trPr>
          <w:trHeight w:val="540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2018/2019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kierunkowy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06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-O/NS_IIst_OK2</w:t>
            </w:r>
          </w:p>
        </w:tc>
      </w:tr>
      <w:tr w:rsidR="00F610EF">
        <w:trPr>
          <w:trHeight w:val="120"/>
          <w:jc w:val="center"/>
        </w:trPr>
        <w:tc>
          <w:tcPr>
            <w:tcW w:w="112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610EF" w:rsidRDefault="00F6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610EF">
        <w:trPr>
          <w:trHeight w:val="280"/>
          <w:jc w:val="center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952" w:type="dxa"/>
            <w:gridSpan w:val="4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610EF" w:rsidRDefault="00003F0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Ogrodnictwo zrównoważone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7</w:t>
            </w:r>
          </w:p>
        </w:tc>
      </w:tr>
      <w:tr w:rsidR="00F610EF">
        <w:trPr>
          <w:trHeight w:val="280"/>
          <w:jc w:val="center"/>
        </w:trPr>
        <w:tc>
          <w:tcPr>
            <w:tcW w:w="3216" w:type="dxa"/>
            <w:gridSpan w:val="2"/>
            <w:tcBorders>
              <w:top w:val="single" w:sz="4" w:space="0" w:color="000000"/>
            </w:tcBorders>
            <w:vAlign w:val="center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16" w:type="dxa"/>
            <w:gridSpan w:val="6"/>
            <w:vAlign w:val="center"/>
          </w:tcPr>
          <w:p w:rsidR="00F610EF" w:rsidRDefault="00003F0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Sustainable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horticulture</w:t>
            </w:r>
            <w:proofErr w:type="spellEnd"/>
          </w:p>
        </w:tc>
      </w:tr>
      <w:tr w:rsidR="00F610EF">
        <w:trPr>
          <w:trHeight w:val="280"/>
          <w:jc w:val="center"/>
        </w:trPr>
        <w:tc>
          <w:tcPr>
            <w:tcW w:w="3216" w:type="dxa"/>
            <w:gridSpan w:val="2"/>
            <w:tcBorders>
              <w:bottom w:val="single" w:sz="4" w:space="0" w:color="000000"/>
            </w:tcBorders>
            <w:vAlign w:val="center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16" w:type="dxa"/>
            <w:gridSpan w:val="6"/>
            <w:tcBorders>
              <w:bottom w:val="single" w:sz="4" w:space="0" w:color="000000"/>
            </w:tcBorders>
            <w:vAlign w:val="center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Ogrodnictwo</w:t>
            </w:r>
          </w:p>
        </w:tc>
      </w:tr>
      <w:tr w:rsidR="00F610EF">
        <w:trPr>
          <w:trHeight w:val="280"/>
          <w:jc w:val="center"/>
        </w:trPr>
        <w:tc>
          <w:tcPr>
            <w:tcW w:w="3216" w:type="dxa"/>
            <w:gridSpan w:val="2"/>
            <w:tcBorders>
              <w:bottom w:val="single" w:sz="4" w:space="0" w:color="000000"/>
            </w:tcBorders>
            <w:vAlign w:val="center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16" w:type="dxa"/>
            <w:gridSpan w:val="6"/>
            <w:tcBorders>
              <w:bottom w:val="single" w:sz="4" w:space="0" w:color="000000"/>
            </w:tcBorders>
            <w:vAlign w:val="center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Prof. dr hab. Marek Gajewski</w:t>
            </w:r>
          </w:p>
        </w:tc>
      </w:tr>
      <w:tr w:rsidR="00F610EF">
        <w:trPr>
          <w:trHeight w:val="340"/>
          <w:jc w:val="center"/>
        </w:trPr>
        <w:tc>
          <w:tcPr>
            <w:tcW w:w="3216" w:type="dxa"/>
            <w:gridSpan w:val="2"/>
            <w:tcBorders>
              <w:bottom w:val="single" w:sz="4" w:space="0" w:color="000000"/>
            </w:tcBorders>
            <w:vAlign w:val="center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16" w:type="dxa"/>
            <w:gridSpan w:val="6"/>
            <w:tcBorders>
              <w:bottom w:val="single" w:sz="4" w:space="0" w:color="000000"/>
            </w:tcBorders>
            <w:vAlign w:val="center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highlight w:val="green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Pracownicy Katedry Roślin Warzywnych i Leczniczych, Samodzielnego Zakładu Sadownictwa, Katedry Roślin Ozdobnych, Samodzielnego Zakładu Entomologii Stosowanej (m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.in. prof. dr hab. Marek Gajewski, dr hab. Dariusz Wrona, dr Andrzej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Pacholczak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, dr Monika Latkowska, dr Agata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Jędrzejuk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 prof. dr hab. Stanisław Ignatowicz)</w:t>
            </w:r>
          </w:p>
        </w:tc>
      </w:tr>
      <w:tr w:rsidR="00F610EF">
        <w:trPr>
          <w:trHeight w:val="340"/>
          <w:jc w:val="center"/>
        </w:trPr>
        <w:tc>
          <w:tcPr>
            <w:tcW w:w="3216" w:type="dxa"/>
            <w:gridSpan w:val="2"/>
            <w:tcBorders>
              <w:bottom w:val="single" w:sz="4" w:space="0" w:color="000000"/>
            </w:tcBorders>
            <w:vAlign w:val="center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16" w:type="dxa"/>
            <w:gridSpan w:val="6"/>
            <w:tcBorders>
              <w:bottom w:val="single" w:sz="4" w:space="0" w:color="000000"/>
            </w:tcBorders>
            <w:vAlign w:val="center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Wydział Ogrodnictwa, Biotechnologii i Architektury Krajobrazu, Katedra Roślin Warzywnych i Leczniczych, Samodzielny Zakład Sadownictwa, Katedra Roślin Ozdobnych, Samodzielny Zakład Entomologii Stosowanej</w:t>
            </w:r>
          </w:p>
        </w:tc>
      </w:tr>
      <w:tr w:rsidR="00F610EF">
        <w:trPr>
          <w:trHeight w:val="180"/>
          <w:jc w:val="center"/>
        </w:trPr>
        <w:tc>
          <w:tcPr>
            <w:tcW w:w="3216" w:type="dxa"/>
            <w:gridSpan w:val="2"/>
            <w:tcBorders>
              <w:bottom w:val="single" w:sz="4" w:space="0" w:color="000000"/>
            </w:tcBorders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16" w:type="dxa"/>
            <w:gridSpan w:val="6"/>
            <w:tcBorders>
              <w:bottom w:val="single" w:sz="4" w:space="0" w:color="000000"/>
            </w:tcBorders>
          </w:tcPr>
          <w:p w:rsidR="00F610EF" w:rsidRDefault="00003F0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Ogrodnictwa, Biotechnologii i Architektury Krajobrazu</w:t>
            </w:r>
          </w:p>
        </w:tc>
      </w:tr>
      <w:tr w:rsidR="00F610EF">
        <w:trPr>
          <w:trHeight w:val="280"/>
          <w:jc w:val="center"/>
        </w:trPr>
        <w:tc>
          <w:tcPr>
            <w:tcW w:w="3216" w:type="dxa"/>
            <w:gridSpan w:val="2"/>
            <w:tcBorders>
              <w:bottom w:val="single" w:sz="4" w:space="0" w:color="000000"/>
            </w:tcBorders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a) przedmiot obowiązkowy - kierunkowy</w:t>
            </w:r>
          </w:p>
        </w:tc>
        <w:tc>
          <w:tcPr>
            <w:tcW w:w="3401" w:type="dxa"/>
            <w:gridSpan w:val="2"/>
            <w:tcBorders>
              <w:bottom w:val="single" w:sz="4" w:space="0" w:color="000000"/>
            </w:tcBorders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b) stopień II, rok  I</w:t>
            </w:r>
          </w:p>
        </w:tc>
        <w:tc>
          <w:tcPr>
            <w:tcW w:w="2631" w:type="dxa"/>
            <w:gridSpan w:val="3"/>
            <w:tcBorders>
              <w:bottom w:val="single" w:sz="4" w:space="0" w:color="000000"/>
            </w:tcBorders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c)  niestacjonarne</w:t>
            </w:r>
          </w:p>
        </w:tc>
      </w:tr>
      <w:tr w:rsidR="00F610EF">
        <w:trPr>
          <w:trHeight w:val="280"/>
          <w:jc w:val="center"/>
        </w:trPr>
        <w:tc>
          <w:tcPr>
            <w:tcW w:w="3216" w:type="dxa"/>
            <w:gridSpan w:val="2"/>
            <w:tcBorders>
              <w:bottom w:val="single" w:sz="4" w:space="0" w:color="000000"/>
            </w:tcBorders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Semestr letni</w:t>
            </w:r>
          </w:p>
        </w:tc>
        <w:tc>
          <w:tcPr>
            <w:tcW w:w="3401" w:type="dxa"/>
            <w:gridSpan w:val="2"/>
            <w:tcBorders>
              <w:bottom w:val="single" w:sz="4" w:space="0" w:color="000000"/>
            </w:tcBorders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: polski</w:t>
            </w:r>
          </w:p>
        </w:tc>
        <w:tc>
          <w:tcPr>
            <w:tcW w:w="2631" w:type="dxa"/>
            <w:gridSpan w:val="3"/>
            <w:tcBorders>
              <w:bottom w:val="single" w:sz="4" w:space="0" w:color="000000"/>
            </w:tcBorders>
          </w:tcPr>
          <w:p w:rsidR="00F610EF" w:rsidRDefault="00F6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F610EF">
        <w:trPr>
          <w:trHeight w:val="1340"/>
          <w:jc w:val="center"/>
        </w:trPr>
        <w:tc>
          <w:tcPr>
            <w:tcW w:w="3216" w:type="dxa"/>
            <w:gridSpan w:val="2"/>
            <w:tcBorders>
              <w:bottom w:val="single" w:sz="4" w:space="0" w:color="000000"/>
            </w:tcBorders>
            <w:vAlign w:val="center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16" w:type="dxa"/>
            <w:gridSpan w:val="6"/>
            <w:tcBorders>
              <w:bottom w:val="single" w:sz="4" w:space="0" w:color="000000"/>
            </w:tcBorders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Przedmiot w części sadowniczej, warzywniczej i roślin leczniczych ma na celu zaznajomienie studentów z podstawami integrowanej i ekologicznej produkcji roślin, jej certyfikacją, czynnikami wpływającymi na jakość produktu, jego trwałością w przechowywa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niu i sposobami przygotowania do obrotu handlowego. Student poznaje składniki roślinnie cechujące się aktywnością biologiczną i poznaje metody ich oznaczania. W części roślin ozdobnych przedmiot ma na celu zapoznanie studenta z zagadnieniami związanymi z z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ielenią miejską, nowoczesnymi formami zastosowania roślin ozdobnych i ich wpływem na poprawę warunków życia w mieście, ozdobnym materiałem szkółkarskim przydatnym do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nasadzeń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w warunkach miejskich, wymagań uprawowych i zabiegów pielęgnacyjnych. W części do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tyczącej ochrony roślin student zapoznaje się z założeniami integrowanej ochrony roślin warzywnych i sadowniczych i zasadami racjonalnego stosowania środków ochrony roślin.</w:t>
            </w:r>
          </w:p>
        </w:tc>
      </w:tr>
      <w:tr w:rsidR="00F610EF">
        <w:trPr>
          <w:trHeight w:val="260"/>
          <w:jc w:val="center"/>
        </w:trPr>
        <w:tc>
          <w:tcPr>
            <w:tcW w:w="3216" w:type="dxa"/>
            <w:gridSpan w:val="2"/>
            <w:tcBorders>
              <w:bottom w:val="single" w:sz="4" w:space="0" w:color="000000"/>
            </w:tcBorders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16" w:type="dxa"/>
            <w:gridSpan w:val="6"/>
            <w:tcBorders>
              <w:bottom w:val="single" w:sz="4" w:space="0" w:color="000000"/>
            </w:tcBorders>
          </w:tcPr>
          <w:p w:rsidR="00F610EF" w:rsidRDefault="00003F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Wykłady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ab/>
              <w:t>liczba godzin   28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b)     Ćwiczenia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ab/>
              <w:t>liczba godzin   28</w:t>
            </w:r>
          </w:p>
        </w:tc>
      </w:tr>
      <w:tr w:rsidR="00F610EF">
        <w:trPr>
          <w:trHeight w:val="280"/>
          <w:jc w:val="center"/>
        </w:trPr>
        <w:tc>
          <w:tcPr>
            <w:tcW w:w="3216" w:type="dxa"/>
            <w:gridSpan w:val="2"/>
            <w:tcBorders>
              <w:bottom w:val="single" w:sz="4" w:space="0" w:color="000000"/>
            </w:tcBorders>
            <w:vAlign w:val="center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16" w:type="dxa"/>
            <w:gridSpan w:val="6"/>
            <w:tcBorders>
              <w:bottom w:val="single" w:sz="4" w:space="0" w:color="000000"/>
            </w:tcBorders>
            <w:vAlign w:val="center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Wykład, ćwiczenie praktyczne, ćwiczenia laboratoryjne, dyskusja, rozwiązywanie problemu</w:t>
            </w:r>
          </w:p>
        </w:tc>
      </w:tr>
      <w:tr w:rsidR="00F610EF">
        <w:trPr>
          <w:trHeight w:val="3760"/>
          <w:jc w:val="center"/>
        </w:trPr>
        <w:tc>
          <w:tcPr>
            <w:tcW w:w="3216" w:type="dxa"/>
            <w:gridSpan w:val="2"/>
            <w:tcBorders>
              <w:bottom w:val="single" w:sz="4" w:space="0" w:color="000000"/>
            </w:tcBorders>
            <w:vAlign w:val="center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16" w:type="dxa"/>
            <w:gridSpan w:val="6"/>
            <w:tcBorders>
              <w:bottom w:val="single" w:sz="4" w:space="0" w:color="000000"/>
            </w:tcBorders>
            <w:vAlign w:val="center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Wykłady: Zasady integrowanej i proekologicznej uprawy różnych gatunków roślin warzywnych. z uwzględnieniem metodyki produkcji oraz założeń GAP i EUREPGAP. Zasady przechowywania i obrotu towarowego warzyw z produkcji integrowanej i ekologicznej. Jakość warz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yw z uprawy ekologicznej. Pozyskiwanie surowca zielarskiego ze stanowisk naturalnych metodami proekologicznymi. Utrwalanie surowców zielarskich z zachowaniem ich wartości użytkowej oraz zasady obrotu produktami zielarskimi. Technologie produkcji owoców met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odą integrowaną. Sadownictwo ekologiczne w krajach Unii Europejskiej i w Polsce. Warunki prowadzenia i cechy sadownictwa ekologicznego. Lokalizacja uprawy, przygotowanie stanowiska oraz optymalizacja mikroklimatu do upraw sadowniczych. Dobór właściwego mat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eriału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nasadzeniowego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dla gatunków ziarnkowych, pestkowych i jagodowych. Wymagania i ograniczenia dotyczące środków produkcji w sadownictwie ekologicznym Formy zastosowania roślin w zieleni miejskiej, na budynkach mieszkalnych i użytkowych oraz wykorzystan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ia roślin doniczkowych do poprawy warunków panujących we wnętrzach mieszkalnych i miejscach pracy, ich wpływ na środowisko i mieszkańców Naturalistyczne i przyjazne środowisku formy zieleni miejskiej oraz zasady doboru roślinności na place zabaw. Ruchy „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mmunity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gardening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” i „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Guerrilla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Gardening”. Zagospodarowywanie przestrzeni miejskiej z wykorzystaniem materiału szkółkarskiego. Zrównoważone stosowanie metod i środków ochrony roślin. Minimalizacja zabiegów ochrony roślin poprzez wdrożenie właściwych prakt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yk agrotechnicznych – wpływ tych praktyk na nasilenie występowania szkodników. Techniki stosowania środków ochrony roślin do stosowania w ogrodnictwie zrównoważonym. Środki ochrony roślin do stosowania w ogrodnictwie zrównoważonym. Racjonalne dozowanie i l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imitowanie chemicznych środków ochrony roślin na użytkach rolnych w celu redukcji zanieczyszczeń obszarowych.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Ćwiczenia: Określanie w materiale roślinnym zawartości składników decydujących o jego wartości odżywczej, biologicznej i sensorycznej (metody iloś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ciowe i jakościowe, z wykorzystaniem m.in. chromatografii gazowej i wysokosprawnej chromatografii cieczowej). Ocena jakości handlowej warzyw i ziół na podstawie norm przedmiotowych – normy Europejskiej Komisji Gospodarczej oraz ISO pochodzących ze zróżnico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wanych warunków uprawy, ze szczególnym uwzględnieniem związków azotowych i związków odżywczych. Ćwiczenie praktyczne dotyczące technologii uprawy zgodnie z zasadami integrowanej produkcji, na przykładzie wybranych gatunków roślin warzywnych. Praktyczne zap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oznanie się z prawidłowo prowadzonym sadem ekologicznym oraz zgodnie z metodykami IPO. Prowadzenia notatnika obserwacji i zabiegów w sadzie i na plantacji IPO dla poszczególnych gatunków Opracowanie analizy zagospodarowania wybranego skweru miejskiego oraz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placu zabaw z uwzględnieniem doboru roślinności, istniejącej infrastruktury (studium przypadku; praca w grupach). Ćwiczenia terenowe (ogród na dachu, szkółki roślin ozdobnych). Przygotowanie założeń do projektu wybranego fragmentu zieleni miejskiej z wyko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rzystaniem roślin drzewiastych. Ocena wpływu terminu siewu, zagęszczenia roślin w uprawie, terminu zbioru, usuwania resztek roślinnych i innych zabiegów agrotechnicznych na występowanie szkodników. Praktyczne aspekty stosowania środków ochrony roślin w ogr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odnictwie zrównoważonym (pokaz metod i środków).</w:t>
            </w:r>
          </w:p>
        </w:tc>
      </w:tr>
      <w:tr w:rsidR="00F610EF">
        <w:trPr>
          <w:trHeight w:val="340"/>
          <w:jc w:val="center"/>
        </w:trPr>
        <w:tc>
          <w:tcPr>
            <w:tcW w:w="3216" w:type="dxa"/>
            <w:gridSpan w:val="2"/>
            <w:tcBorders>
              <w:bottom w:val="single" w:sz="4" w:space="0" w:color="000000"/>
            </w:tcBorders>
            <w:vAlign w:val="center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16" w:type="dxa"/>
            <w:gridSpan w:val="6"/>
            <w:tcBorders>
              <w:bottom w:val="single" w:sz="4" w:space="0" w:color="000000"/>
            </w:tcBorders>
            <w:vAlign w:val="center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Warzywnictwo, Sadownictwo, Rośliny ozdobne, Ochrona roślin – fitopatologia, Ochrona roślin – entomologia, Botanika, Gleboznawstwo, Dendrologia</w:t>
            </w:r>
          </w:p>
        </w:tc>
      </w:tr>
      <w:tr w:rsidR="00F610EF">
        <w:trPr>
          <w:trHeight w:val="220"/>
          <w:jc w:val="center"/>
        </w:trPr>
        <w:tc>
          <w:tcPr>
            <w:tcW w:w="3216" w:type="dxa"/>
            <w:gridSpan w:val="2"/>
            <w:tcBorders>
              <w:bottom w:val="single" w:sz="4" w:space="0" w:color="000000"/>
            </w:tcBorders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16" w:type="dxa"/>
            <w:gridSpan w:val="6"/>
            <w:tcBorders>
              <w:bottom w:val="single" w:sz="4" w:space="0" w:color="000000"/>
            </w:tcBorders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Znajomość podstaw produkcji ogrodniczej, znajomość gatunków zielnych i drzewiastych roślin ozdobnych oraz rodzajów gleb</w:t>
            </w:r>
          </w:p>
        </w:tc>
      </w:tr>
      <w:tr w:rsidR="00F610EF">
        <w:trPr>
          <w:trHeight w:val="1120"/>
          <w:jc w:val="center"/>
        </w:trPr>
        <w:tc>
          <w:tcPr>
            <w:tcW w:w="3216" w:type="dxa"/>
            <w:gridSpan w:val="2"/>
            <w:vAlign w:val="center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393" w:type="dxa"/>
            <w:gridSpan w:val="2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01 – zna zjawiska i procesy zachodzące w roślinach ogrodniczych w trakcie wegetacji i po zbiorze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02 – potrafi rozpoznawać główne przyczyny powodujące utratę jakości plonu oraz dobierać odpowiednie środki zaradcze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03 – umie dobrać metody ochrony roślin prze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d fitofagami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04 – potrafi opracować założenia do projektu wybranego fragmentu zieleni miejskiej</w:t>
            </w:r>
          </w:p>
        </w:tc>
        <w:tc>
          <w:tcPr>
            <w:tcW w:w="3623" w:type="dxa"/>
            <w:gridSpan w:val="4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05 – ma świadomość znaczenia nowoczesnych metod produkcji integrowanej i proekologicznej warzyw i owoców dla człowieka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06 – umie współpracować w grupie, wykazuj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ąc kreatywność w procesie stosowania wiedzy w praktyce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07 – ma świadomość konieczności postępowania zgodnie z zasadami etyki</w:t>
            </w:r>
          </w:p>
        </w:tc>
      </w:tr>
      <w:tr w:rsidR="00F610EF">
        <w:trPr>
          <w:trHeight w:val="340"/>
          <w:jc w:val="center"/>
        </w:trPr>
        <w:tc>
          <w:tcPr>
            <w:tcW w:w="3216" w:type="dxa"/>
            <w:gridSpan w:val="2"/>
            <w:vAlign w:val="center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16" w:type="dxa"/>
            <w:gridSpan w:val="6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Efekt 01, 02, 03, 04, 05 – sprawdziany na zajęciach ćwiczeniowych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Efekt 01, 03, 04, 05, 06, 07 – zadanie projektowe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Efekt 03,04,05,06,07 – obserwacje studentów w trakcie zajęć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Efekt 01, 02, 03, 04, 05 – egzamin pisemny</w:t>
            </w:r>
          </w:p>
        </w:tc>
      </w:tr>
      <w:tr w:rsidR="00F610EF">
        <w:trPr>
          <w:trHeight w:val="340"/>
          <w:jc w:val="center"/>
        </w:trPr>
        <w:tc>
          <w:tcPr>
            <w:tcW w:w="3216" w:type="dxa"/>
            <w:gridSpan w:val="2"/>
            <w:vAlign w:val="center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16" w:type="dxa"/>
            <w:gridSpan w:val="6"/>
            <w:vAlign w:val="center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Imienne karty oceny studenta, treść pytań zaliczeniowych i egzaminu z oceną</w:t>
            </w:r>
          </w:p>
        </w:tc>
      </w:tr>
      <w:tr w:rsidR="00F610EF">
        <w:trPr>
          <w:trHeight w:val="340"/>
          <w:jc w:val="center"/>
        </w:trPr>
        <w:tc>
          <w:tcPr>
            <w:tcW w:w="3216" w:type="dxa"/>
            <w:gridSpan w:val="2"/>
            <w:vAlign w:val="center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16" w:type="dxa"/>
            <w:gridSpan w:val="6"/>
            <w:vAlign w:val="center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Ocena ze sprawdzianów – 30%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Ocena aktywności w trakcie zajęć – 20%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Ocena wykonania zadania projektowego – 20%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Ocena z egzaminu – 30%</w:t>
            </w:r>
          </w:p>
        </w:tc>
      </w:tr>
      <w:tr w:rsidR="00F610EF">
        <w:trPr>
          <w:trHeight w:val="140"/>
          <w:jc w:val="center"/>
        </w:trPr>
        <w:tc>
          <w:tcPr>
            <w:tcW w:w="3216" w:type="dxa"/>
            <w:gridSpan w:val="2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16" w:type="dxa"/>
            <w:gridSpan w:val="6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Sala dydaktyczna, laboratoria</w:t>
            </w:r>
          </w:p>
        </w:tc>
      </w:tr>
      <w:tr w:rsidR="00F610EF">
        <w:trPr>
          <w:trHeight w:val="120"/>
          <w:jc w:val="center"/>
        </w:trPr>
        <w:tc>
          <w:tcPr>
            <w:tcW w:w="11232" w:type="dxa"/>
            <w:gridSpan w:val="8"/>
            <w:vAlign w:val="center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: 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1.Gajewski M. 2005. Przechowalnictwo warzyw. Wyd. SGGW Warszawa. 2.Praca zbiorowa pod red. M. Knaflewskiego. 2008. Ogólna uprawa warzyw. </w:t>
            </w:r>
            <w:proofErr w:type="spellStart"/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 Poznań, 3.Latkowska M.J. 2011. „Zielona” natura człowieka. W: Ogród za oknem-W zgodzie z naturą, Wyd. Sztuka Ogro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du-Sztuka Krajobrazu: 94-102. 4. Nowak J. 2005. Wpływ roślin ozdobnych na zdrowie człowieka. Zesz. Prob. Post. Nauk Rol. 504: 33-42. 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Pieniążek S.A. 2000. Sadownictwo. </w:t>
            </w:r>
            <w:proofErr w:type="spellStart"/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, Warszawa. 5. Program ochrony roślin sadowniczych 2012. </w:t>
            </w:r>
            <w:proofErr w:type="spellStart"/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Hortpress</w:t>
            </w:r>
            <w:proofErr w:type="spellEnd"/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, Warszawa. 6.Upr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awa drzew ziarnkowych oraz orzecha włoskiego i leszczyny metodami ekologicznymi: </w:t>
            </w:r>
            <w:hyperlink r:id="rId7">
              <w:r>
                <w:rPr>
                  <w:rFonts w:ascii="Arial" w:eastAsia="Arial" w:hAnsi="Arial" w:cs="Arial"/>
                  <w:color w:val="000000"/>
                  <w:sz w:val="12"/>
                  <w:szCs w:val="12"/>
                  <w:u w:val="single"/>
                </w:rPr>
                <w:t>http://www.odr.net.pl/publikacje/0119.pdf</w:t>
              </w:r>
            </w:hyperlink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 7.Weibel F.P., Tamm L., </w:t>
            </w:r>
            <w:proofErr w:type="spellStart"/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Wyss</w:t>
            </w:r>
            <w:proofErr w:type="spellEnd"/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 E., Daniel C., </w:t>
            </w:r>
            <w:proofErr w:type="spellStart"/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Häseli</w:t>
            </w:r>
            <w:proofErr w:type="spellEnd"/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 A, </w:t>
            </w:r>
            <w:proofErr w:type="spellStart"/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Suter</w:t>
            </w:r>
            <w:proofErr w:type="spellEnd"/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 F. 2007. </w:t>
            </w:r>
            <w:r w:rsidRPr="00003F08">
              <w:rPr>
                <w:rFonts w:ascii="Arial" w:eastAsia="Arial" w:hAnsi="Arial" w:cs="Arial"/>
                <w:color w:val="000000"/>
                <w:sz w:val="12"/>
                <w:szCs w:val="12"/>
                <w:lang w:val="en-GB"/>
              </w:rPr>
              <w:t xml:space="preserve">Organic fruit production in Europe: successes in production and marketing in the </w:t>
            </w:r>
            <w:r w:rsidRPr="00003F08">
              <w:rPr>
                <w:rFonts w:ascii="Arial" w:eastAsia="Arial" w:hAnsi="Arial" w:cs="Arial"/>
                <w:color w:val="000000"/>
                <w:sz w:val="12"/>
                <w:szCs w:val="12"/>
                <w:lang w:val="en-GB"/>
              </w:rPr>
              <w:lastRenderedPageBreak/>
              <w:t xml:space="preserve">last decade, perspectives and challenges for the future development. </w:t>
            </w:r>
            <w:proofErr w:type="spellStart"/>
            <w:r w:rsidRPr="00003F08">
              <w:rPr>
                <w:rFonts w:ascii="Arial" w:eastAsia="Arial" w:hAnsi="Arial" w:cs="Arial"/>
                <w:color w:val="000000"/>
                <w:sz w:val="12"/>
                <w:szCs w:val="12"/>
                <w:lang w:val="en-GB"/>
              </w:rPr>
              <w:t>Acta</w:t>
            </w:r>
            <w:proofErr w:type="spellEnd"/>
            <w:r w:rsidRPr="00003F08">
              <w:rPr>
                <w:rFonts w:ascii="Arial" w:eastAsia="Arial" w:hAnsi="Arial" w:cs="Arial"/>
                <w:color w:val="000000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003F08">
              <w:rPr>
                <w:rFonts w:ascii="Arial" w:eastAsia="Arial" w:hAnsi="Arial" w:cs="Arial"/>
                <w:color w:val="000000"/>
                <w:sz w:val="12"/>
                <w:szCs w:val="12"/>
                <w:lang w:val="en-GB"/>
              </w:rPr>
              <w:t>Hortic</w:t>
            </w:r>
            <w:proofErr w:type="spellEnd"/>
            <w:r w:rsidRPr="00003F08">
              <w:rPr>
                <w:rFonts w:ascii="Arial" w:eastAsia="Arial" w:hAnsi="Arial" w:cs="Arial"/>
                <w:color w:val="000000"/>
                <w:sz w:val="12"/>
                <w:szCs w:val="12"/>
                <w:lang w:val="en-GB"/>
              </w:rPr>
              <w:t xml:space="preserve">. 737: 163-172. 8.Willer </w:t>
            </w:r>
            <w:r w:rsidRPr="00003F08">
              <w:rPr>
                <w:rFonts w:ascii="Arial" w:eastAsia="Arial" w:hAnsi="Arial" w:cs="Arial"/>
                <w:color w:val="000000"/>
                <w:sz w:val="12"/>
                <w:szCs w:val="12"/>
                <w:lang w:val="en-GB"/>
              </w:rPr>
              <w:t xml:space="preserve">H. </w:t>
            </w:r>
            <w:proofErr w:type="spellStart"/>
            <w:r w:rsidRPr="00003F08">
              <w:rPr>
                <w:rFonts w:ascii="Arial" w:eastAsia="Arial" w:hAnsi="Arial" w:cs="Arial"/>
                <w:color w:val="000000"/>
                <w:sz w:val="12"/>
                <w:szCs w:val="12"/>
                <w:lang w:val="en-GB"/>
              </w:rPr>
              <w:t>Yussefi</w:t>
            </w:r>
            <w:proofErr w:type="spellEnd"/>
            <w:r w:rsidRPr="00003F08">
              <w:rPr>
                <w:rFonts w:ascii="Arial" w:eastAsia="Arial" w:hAnsi="Arial" w:cs="Arial"/>
                <w:color w:val="000000"/>
                <w:sz w:val="12"/>
                <w:szCs w:val="12"/>
                <w:lang w:val="en-GB"/>
              </w:rPr>
              <w:t xml:space="preserve"> M. 2006. The world of organic agriculture. </w:t>
            </w:r>
            <w:proofErr w:type="spellStart"/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Statistics</w:t>
            </w:r>
            <w:proofErr w:type="spellEnd"/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emerging</w:t>
            </w:r>
            <w:proofErr w:type="spellEnd"/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trends</w:t>
            </w:r>
            <w:proofErr w:type="spellEnd"/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 2006.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9. Zając R. 1978. Rola owadożernych ptaków. PWN, Warszawa.</w:t>
            </w:r>
          </w:p>
        </w:tc>
      </w:tr>
      <w:tr w:rsidR="00F610EF">
        <w:trPr>
          <w:trHeight w:val="120"/>
          <w:jc w:val="center"/>
        </w:trPr>
        <w:tc>
          <w:tcPr>
            <w:tcW w:w="11232" w:type="dxa"/>
            <w:gridSpan w:val="8"/>
            <w:vAlign w:val="center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UWAGI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: Oceny wystawiane są zgodnie z kryterium: 100-91% pkt. – 5,0; 90-81% pkt. – 4,5; 80-71% pkt. – 4,0; 70-61% pkt. – 3,5; 60-51% pkt. – 3,0</w:t>
            </w:r>
          </w:p>
        </w:tc>
      </w:tr>
    </w:tbl>
    <w:p w:rsidR="00F610EF" w:rsidRDefault="00F610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:rsidR="00F610EF" w:rsidRDefault="00F610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610EF" w:rsidRDefault="00F610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610EF" w:rsidRDefault="00F610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610EF" w:rsidRDefault="00003F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Ogrodnictwo zrównoważone</w:t>
      </w:r>
    </w:p>
    <w:p w:rsidR="00F610EF" w:rsidRDefault="00F610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6"/>
        <w:gridCol w:w="2046"/>
      </w:tblGrid>
      <w:tr w:rsidR="00F610EF">
        <w:trPr>
          <w:trHeight w:val="380"/>
          <w:jc w:val="center"/>
        </w:trPr>
        <w:tc>
          <w:tcPr>
            <w:tcW w:w="9186" w:type="dxa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2046" w:type="dxa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178 h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7,0 ECTS</w:t>
            </w:r>
          </w:p>
        </w:tc>
      </w:tr>
      <w:tr w:rsidR="00F610EF">
        <w:trPr>
          <w:trHeight w:val="380"/>
          <w:jc w:val="center"/>
        </w:trPr>
        <w:tc>
          <w:tcPr>
            <w:tcW w:w="9186" w:type="dxa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łu nauczycieli akademickich:</w:t>
            </w:r>
          </w:p>
        </w:tc>
        <w:tc>
          <w:tcPr>
            <w:tcW w:w="2046" w:type="dxa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73 h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</w:p>
        </w:tc>
      </w:tr>
      <w:tr w:rsidR="00F610EF">
        <w:trPr>
          <w:trHeight w:val="380"/>
          <w:jc w:val="center"/>
        </w:trPr>
        <w:tc>
          <w:tcPr>
            <w:tcW w:w="9186" w:type="dxa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046" w:type="dxa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98 h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4,0 ECTS</w:t>
            </w:r>
          </w:p>
        </w:tc>
      </w:tr>
    </w:tbl>
    <w:p w:rsidR="00F610EF" w:rsidRDefault="00F610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610EF" w:rsidRDefault="00F610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610EF" w:rsidRDefault="00003F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:Ogrodnictwo zrównoważone</w:t>
      </w:r>
    </w:p>
    <w:p w:rsidR="00F610EF" w:rsidRDefault="00F610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6"/>
        <w:gridCol w:w="2046"/>
      </w:tblGrid>
      <w:tr w:rsidR="00F610EF" w:rsidRPr="00003F08">
        <w:trPr>
          <w:trHeight w:val="380"/>
          <w:jc w:val="center"/>
        </w:trPr>
        <w:tc>
          <w:tcPr>
            <w:tcW w:w="9186" w:type="dxa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Wykłady                                    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                                              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ćwiczeń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Przygotowanie do sprawdzianów 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zadania projektowego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sprawozdań z zadań prowadzony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ch w trakcie ćwiczeń 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F610EF" w:rsidRDefault="00F6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046" w:type="dxa"/>
          </w:tcPr>
          <w:p w:rsidR="00F610EF" w:rsidRPr="00003F08" w:rsidRDefault="00F6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F610EF" w:rsidRPr="00003F08" w:rsidRDefault="00F6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F610EF" w:rsidRPr="00003F08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003F0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28 h</w:t>
            </w:r>
          </w:p>
          <w:p w:rsidR="00F610EF" w:rsidRPr="00003F08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003F0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28 h</w:t>
            </w:r>
          </w:p>
          <w:p w:rsidR="00F610EF" w:rsidRPr="00003F08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003F0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15 h</w:t>
            </w:r>
          </w:p>
          <w:p w:rsidR="00F610EF" w:rsidRPr="00003F08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003F0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25 h</w:t>
            </w:r>
          </w:p>
          <w:p w:rsidR="00F610EF" w:rsidRPr="00003F08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003F0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25 h</w:t>
            </w:r>
          </w:p>
          <w:p w:rsidR="00F610EF" w:rsidRPr="00003F08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003F0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30 h</w:t>
            </w:r>
          </w:p>
          <w:p w:rsidR="00F610EF" w:rsidRPr="00003F08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003F0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25 h</w:t>
            </w:r>
          </w:p>
          <w:p w:rsidR="00F610EF" w:rsidRPr="00003F08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003F0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2 h</w:t>
            </w:r>
          </w:p>
          <w:p w:rsidR="00F610EF" w:rsidRPr="00003F08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003F0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178 h</w:t>
            </w:r>
          </w:p>
          <w:p w:rsidR="00F610EF" w:rsidRPr="00003F08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003F0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7,0 ECTS</w:t>
            </w:r>
          </w:p>
        </w:tc>
      </w:tr>
      <w:tr w:rsidR="00F610EF">
        <w:trPr>
          <w:trHeight w:val="380"/>
          <w:jc w:val="center"/>
        </w:trPr>
        <w:tc>
          <w:tcPr>
            <w:tcW w:w="9186" w:type="dxa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Wykłady                                     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Ćwiczenia laboratoryjne                                               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 egzaminie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F610EF" w:rsidRDefault="00F6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</w:tcPr>
          <w:p w:rsidR="00F610EF" w:rsidRDefault="00F6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F610EF" w:rsidRDefault="00F6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28 h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28 h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 h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73 h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</w:p>
        </w:tc>
      </w:tr>
      <w:tr w:rsidR="00F610EF">
        <w:trPr>
          <w:trHeight w:val="380"/>
          <w:jc w:val="center"/>
        </w:trPr>
        <w:tc>
          <w:tcPr>
            <w:tcW w:w="9186" w:type="dxa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      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zadania projektowego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sprawozdań z zadań prowadzonych w trakcie ćwiczeń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046" w:type="dxa"/>
            <w:vAlign w:val="center"/>
          </w:tcPr>
          <w:p w:rsidR="00F610EF" w:rsidRDefault="00F6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F610EF" w:rsidRDefault="00F6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28 h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 h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 h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25 h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98 h</w:t>
            </w:r>
          </w:p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4,0 ECTS</w:t>
            </w:r>
          </w:p>
        </w:tc>
      </w:tr>
    </w:tbl>
    <w:p w:rsidR="00F610EF" w:rsidRDefault="00F610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610EF" w:rsidRDefault="00F610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610EF" w:rsidRDefault="00F610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610EF" w:rsidRDefault="00003F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Ogrodnictwo zrównoważone</w:t>
      </w:r>
    </w:p>
    <w:p w:rsidR="00F610EF" w:rsidRDefault="00F610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6958"/>
        <w:gridCol w:w="3182"/>
      </w:tblGrid>
      <w:tr w:rsidR="00F610EF">
        <w:trPr>
          <w:jc w:val="center"/>
        </w:trPr>
        <w:tc>
          <w:tcPr>
            <w:tcW w:w="1092" w:type="dxa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958" w:type="dxa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182" w:type="dxa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F610EF">
        <w:trPr>
          <w:jc w:val="center"/>
        </w:trPr>
        <w:tc>
          <w:tcPr>
            <w:tcW w:w="1092" w:type="dxa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58" w:type="dxa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zna zjawiska i procesy zachodzące w roślinach ogrodniczych w trakcie wegetacji i po zbiorze </w:t>
            </w:r>
          </w:p>
        </w:tc>
        <w:tc>
          <w:tcPr>
            <w:tcW w:w="3182" w:type="dxa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K_W01++, K_W03++,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K_W09++, K_W10+++, 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_W13++,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K_W14++</w:t>
            </w:r>
          </w:p>
        </w:tc>
      </w:tr>
      <w:tr w:rsidR="00F610EF">
        <w:trPr>
          <w:jc w:val="center"/>
        </w:trPr>
        <w:tc>
          <w:tcPr>
            <w:tcW w:w="1092" w:type="dxa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958" w:type="dxa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rozpoznawać główne przyczyny powodujące utratę jakości plonu oraz dobierać odpowiednie środki zaradcze</w:t>
            </w:r>
          </w:p>
        </w:tc>
        <w:tc>
          <w:tcPr>
            <w:tcW w:w="3182" w:type="dxa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K_U02+, K_U03++,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K_U05++, K_U06++,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K_U07++,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K_U08++, K_U09+++,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K_U12++,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K_U13++</w:t>
            </w:r>
          </w:p>
        </w:tc>
      </w:tr>
      <w:tr w:rsidR="00F610EF">
        <w:trPr>
          <w:jc w:val="center"/>
        </w:trPr>
        <w:tc>
          <w:tcPr>
            <w:tcW w:w="1092" w:type="dxa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958" w:type="dxa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dobrać metody ochrony roślin przed fitofagami</w:t>
            </w:r>
          </w:p>
        </w:tc>
        <w:tc>
          <w:tcPr>
            <w:tcW w:w="3182" w:type="dxa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K_U02+,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K_U03++,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K_U05+, K_U06++,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K_U07++,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K_U08++, K_U12++,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K_U13+++</w:t>
            </w:r>
          </w:p>
        </w:tc>
      </w:tr>
      <w:tr w:rsidR="00F610EF">
        <w:trPr>
          <w:jc w:val="center"/>
        </w:trPr>
        <w:tc>
          <w:tcPr>
            <w:tcW w:w="1092" w:type="dxa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958" w:type="dxa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opracować założenia do projektu wybranego fragmentu zieleni miejskiej</w:t>
            </w:r>
          </w:p>
        </w:tc>
        <w:tc>
          <w:tcPr>
            <w:tcW w:w="3182" w:type="dxa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K_U05++,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K_U06++,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K_U07+++, K_U08++, K_U12++,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K_U13++, K_U14+++,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K_U15+++</w:t>
            </w:r>
          </w:p>
        </w:tc>
      </w:tr>
      <w:tr w:rsidR="00F610EF">
        <w:trPr>
          <w:jc w:val="center"/>
        </w:trPr>
        <w:tc>
          <w:tcPr>
            <w:tcW w:w="1092" w:type="dxa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958" w:type="dxa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 świadomość znaczenia nowoczesnych metod produkcji integrowanej i proekologicznej warzyw i owoców dla człowieka</w:t>
            </w:r>
          </w:p>
        </w:tc>
        <w:tc>
          <w:tcPr>
            <w:tcW w:w="3182" w:type="dxa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K_K01++,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K_K04++,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K_K05+++</w:t>
            </w:r>
          </w:p>
        </w:tc>
      </w:tr>
      <w:tr w:rsidR="00F610EF">
        <w:trPr>
          <w:jc w:val="center"/>
        </w:trPr>
        <w:tc>
          <w:tcPr>
            <w:tcW w:w="1092" w:type="dxa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958" w:type="dxa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współpracować w grupie, wykazując kreatywność w procesie stosowania wiedzy w praktyce</w:t>
            </w:r>
          </w:p>
        </w:tc>
        <w:tc>
          <w:tcPr>
            <w:tcW w:w="3182" w:type="dxa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K_K02+++, 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K_K03+</w:t>
            </w:r>
          </w:p>
        </w:tc>
      </w:tr>
      <w:tr w:rsidR="00F610EF">
        <w:trPr>
          <w:jc w:val="center"/>
        </w:trPr>
        <w:tc>
          <w:tcPr>
            <w:tcW w:w="1092" w:type="dxa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958" w:type="dxa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świadomość konieczności postępowania zgodnie z zasadami etyki</w:t>
            </w:r>
          </w:p>
        </w:tc>
        <w:tc>
          <w:tcPr>
            <w:tcW w:w="3182" w:type="dxa"/>
          </w:tcPr>
          <w:p w:rsidR="00F610EF" w:rsidRDefault="0000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K_K04++, K_K05+++</w:t>
            </w:r>
          </w:p>
        </w:tc>
      </w:tr>
    </w:tbl>
    <w:p w:rsidR="00F610EF" w:rsidRDefault="00F610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610EF" w:rsidRDefault="00F610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sectPr w:rsidR="00F610EF">
      <w:footerReference w:type="even" r:id="rId8"/>
      <w:footerReference w:type="default" r:id="rId9"/>
      <w:pgSz w:w="11906" w:h="16838"/>
      <w:pgMar w:top="170" w:right="720" w:bottom="397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03F08">
      <w:r>
        <w:separator/>
      </w:r>
    </w:p>
  </w:endnote>
  <w:endnote w:type="continuationSeparator" w:id="0">
    <w:p w:rsidR="00000000" w:rsidRDefault="0000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0EF" w:rsidRDefault="00003F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F610EF" w:rsidRDefault="00F610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0EF" w:rsidRDefault="00F610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F610EF" w:rsidRDefault="00F610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03F08">
      <w:r>
        <w:separator/>
      </w:r>
    </w:p>
  </w:footnote>
  <w:footnote w:type="continuationSeparator" w:id="0">
    <w:p w:rsidR="00000000" w:rsidRDefault="00003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32292"/>
    <w:multiLevelType w:val="multilevel"/>
    <w:tmpl w:val="E15E8CEC"/>
    <w:lvl w:ilvl="0">
      <w:start w:val="1"/>
      <w:numFmt w:val="lowerLetter"/>
      <w:lvlText w:val="%1)"/>
      <w:lvlJc w:val="left"/>
      <w:pPr>
        <w:ind w:left="47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9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1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3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7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9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1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33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10EF"/>
    <w:rsid w:val="00003F08"/>
    <w:rsid w:val="00F6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50529F-B5A8-4ADE-BCF3-C890131E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dr.net.pl/publikacje/01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1672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Geszprych</dc:creator>
  <cp:lastModifiedBy>Anna Geszprych</cp:lastModifiedBy>
  <cp:revision>2</cp:revision>
  <dcterms:created xsi:type="dcterms:W3CDTF">2019-09-09T17:24:00Z</dcterms:created>
  <dcterms:modified xsi:type="dcterms:W3CDTF">2019-09-09T17:24:00Z</dcterms:modified>
</cp:coreProperties>
</file>