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05" w:rsidRDefault="008C4C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276"/>
        <w:gridCol w:w="2126"/>
        <w:gridCol w:w="2139"/>
        <w:gridCol w:w="200"/>
        <w:gridCol w:w="1144"/>
        <w:gridCol w:w="415"/>
        <w:gridCol w:w="1368"/>
        <w:gridCol w:w="616"/>
      </w:tblGrid>
      <w:tr w:rsidR="008C4C05" w:rsidTr="008C0689">
        <w:trPr>
          <w:trHeight w:val="560"/>
        </w:trPr>
        <w:tc>
          <w:tcPr>
            <w:tcW w:w="1559" w:type="dxa"/>
            <w:shd w:val="clear" w:color="auto" w:fill="D9D9D9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2018/2019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339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-O/NS_Ist_OK6</w:t>
            </w:r>
          </w:p>
        </w:tc>
      </w:tr>
      <w:tr w:rsidR="008C4C05" w:rsidTr="008C0689">
        <w:trPr>
          <w:trHeight w:val="40"/>
        </w:trPr>
        <w:tc>
          <w:tcPr>
            <w:tcW w:w="10843" w:type="dxa"/>
            <w:gridSpan w:val="9"/>
            <w:tcBorders>
              <w:left w:val="nil"/>
              <w:right w:val="nil"/>
            </w:tcBorders>
            <w:vAlign w:val="center"/>
          </w:tcPr>
          <w:p w:rsidR="008C4C05" w:rsidRDefault="008C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C4C05" w:rsidTr="008C0689">
        <w:trPr>
          <w:trHeight w:val="340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024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Uprawa roli i żywienie roślin II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</w:tr>
      <w:tr w:rsidR="008C4C05" w:rsidRPr="008C0689" w:rsidTr="008C0689"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000000"/>
            </w:tcBorders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7"/>
            <w:vAlign w:val="center"/>
          </w:tcPr>
          <w:p w:rsidR="008C4C05" w:rsidRPr="008C0689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C0689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Tillage and plant nutrition II</w:t>
            </w:r>
          </w:p>
        </w:tc>
      </w:tr>
      <w:tr w:rsidR="008C4C05" w:rsidTr="008C0689">
        <w:trPr>
          <w:trHeight w:val="34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7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8C4C05" w:rsidTr="008C0689">
        <w:trPr>
          <w:trHeight w:val="34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7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hab. Marzena Wińska-Krysiak</w:t>
            </w:r>
          </w:p>
        </w:tc>
      </w:tr>
      <w:tr w:rsidR="008C4C05" w:rsidTr="008C0689">
        <w:trPr>
          <w:trHeight w:val="34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7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i/lub doktoranci SZPPO</w:t>
            </w:r>
          </w:p>
        </w:tc>
      </w:tr>
      <w:tr w:rsidR="008C4C05" w:rsidTr="008C0689">
        <w:trPr>
          <w:trHeight w:val="34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Samodzielny Zakład Przyrodniczych Podstaw Ogrodnictwa</w:t>
            </w:r>
          </w:p>
        </w:tc>
      </w:tr>
      <w:tr w:rsidR="008C4C05" w:rsidTr="008C0689">
        <w:trPr>
          <w:trHeight w:val="34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Ogrodnictwa, Biotechnologii i Architektury Krajobrazu</w:t>
            </w:r>
          </w:p>
        </w:tc>
      </w:tr>
      <w:tr w:rsidR="008C4C05" w:rsidTr="008C0689">
        <w:trPr>
          <w:trHeight w:val="24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6" w:type="dxa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 kierunkowy</w:t>
            </w:r>
          </w:p>
        </w:tc>
        <w:tc>
          <w:tcPr>
            <w:tcW w:w="3483" w:type="dxa"/>
            <w:gridSpan w:val="3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</w:t>
            </w:r>
          </w:p>
        </w:tc>
        <w:tc>
          <w:tcPr>
            <w:tcW w:w="2399" w:type="dxa"/>
            <w:gridSpan w:val="3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niestacjonarne</w:t>
            </w:r>
          </w:p>
        </w:tc>
      </w:tr>
      <w:tr w:rsidR="008C4C05" w:rsidTr="008C0689">
        <w:trPr>
          <w:trHeight w:val="34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6" w:type="dxa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483" w:type="dxa"/>
            <w:gridSpan w:val="3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399" w:type="dxa"/>
            <w:gridSpan w:val="3"/>
            <w:vAlign w:val="center"/>
          </w:tcPr>
          <w:p w:rsidR="008C4C05" w:rsidRDefault="008C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C4C05" w:rsidTr="008C0689">
        <w:trPr>
          <w:trHeight w:val="64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Poznanie podstaw mineralnego żywienia roślin z uwzględnieniem właściwości gleb/ziem/podłoży wpływających na efektywność nawożenia oraz różnych technologii nawożenia. Znaczenie i zawartość poszczególnych makro i mikroelementów w glebie i czynniki wpływające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na ich dostępność.</w:t>
            </w:r>
          </w:p>
        </w:tc>
      </w:tr>
      <w:tr w:rsidR="008C4C05" w:rsidTr="008C0689">
        <w:trPr>
          <w:trHeight w:val="56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 Wykłady                                                                                               liczba godzin     9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b)  Ćwiczenia laboratoryjne                                                                      liczba godzin   27</w:t>
            </w:r>
          </w:p>
        </w:tc>
      </w:tr>
      <w:tr w:rsidR="008C4C05" w:rsidTr="008C0689">
        <w:trPr>
          <w:trHeight w:val="14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 – metody audio-wizualne; ćwiczenia – doświadczenia i analizy chemiczne przeprowadzane bezpośrednio przez studenta w zespołach, opracowanie i interpretacja uzyskanych wyników w aspekcie poznawczym i praktycznym, dyskusja i rozwiązywanie problemu.</w:t>
            </w:r>
          </w:p>
        </w:tc>
      </w:tr>
      <w:tr w:rsidR="008C4C05" w:rsidTr="008C0689">
        <w:trPr>
          <w:trHeight w:val="214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Zapoznanie studentów z gospodarką składnikami pokarmowymi, czynnikami wpływającymi na dostępność i rozmieszczenie makro- i mikroelementów w glebie w powiązaniu z różnymi systemami nawożenia w uprawach polowych i pod osłona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mi.  W części teoretycznej słuchacze zostaną zapoznani ze skutkami niedoboru/nadmiaru makro- i mikroelementów dla podstawowych gatunków roślin ogrodniczych. Rodzaje, zasady stosowania, ograniczenia i wpływ na środowisko nawozów naturalnych, organicznych i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mineralnych.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W części praktycznej studenci nauczą się wykonywać podstawowe analizy chemiczne a) gleb mineralnych/ziem/podłoży na zawartość dostępnych dla roślin składników pokarmowych b) wody c) materiału roślinnego. Końcowym elementem kształcen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 będzie nabycie przez studenta umiejętności opracowania zaleceń nawozowych dla roślin ogrodniczych w zależności od technologii uprawy i systemu nawożenia, uwzględniające takie kryteria jak: jakość plonu, wpływ na środowisko oraz względy ekonomiczne.  Zas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ady uprawy roli dla poszczególnych grup roślin ogrodniczych.  </w:t>
            </w:r>
          </w:p>
        </w:tc>
      </w:tr>
      <w:tr w:rsidR="008C4C05" w:rsidTr="008C0689">
        <w:trPr>
          <w:trHeight w:val="28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Chemia, Gleboznawstwo</w:t>
            </w:r>
          </w:p>
        </w:tc>
      </w:tr>
      <w:tr w:rsidR="008C4C05" w:rsidTr="008C0689">
        <w:trPr>
          <w:trHeight w:val="24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powinien posiadać wiedzę z zakresu gleboznawstwa; powinien znać właściwości pierwiastków z poszczególnych grup chemicznych, skład chemiczny podstawowych kwasów, zasad i soli, posługiwać się układem okresowym pierwiastków, umieć wykonać obliczenia 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wiązane z przygotowywaniem roztworów o określonym stężeniu procentowym i/lub molowym.</w:t>
            </w:r>
          </w:p>
        </w:tc>
      </w:tr>
      <w:tr w:rsidR="008C4C05" w:rsidTr="008C0689">
        <w:trPr>
          <w:trHeight w:val="140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65" w:type="dxa"/>
            <w:gridSpan w:val="2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różne systemy nawożenia i środki niezbędne w ich realizacji, dostosowane do różnych technologii uprawy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potrafi wykonać podstawową analizę chemiczną gleb/podłoży, wody i materiału roślinnego w warunkach laboratoryjnych</w:t>
            </w:r>
          </w:p>
          <w:p w:rsidR="008C4C05" w:rsidRDefault="008C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3" w:type="dxa"/>
            <w:gridSpan w:val="5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zinterpretować wyniki analiz chemicznych oraz ocenić warunki siedliska, aby prawidłowo opracowywać podstawowe zalecenia na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wozowe dla poszczególnych grup roślin ogrodniczych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wykazuje dociekliwość poznawczą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świadomie dba o środowisko, prezentując postawę proekologiczną w planowaniu zabiegów związanych z uprawą roli i nawożeniem</w:t>
            </w:r>
          </w:p>
        </w:tc>
      </w:tr>
      <w:tr w:rsidR="008C4C05" w:rsidTr="008C0689">
        <w:trPr>
          <w:trHeight w:val="54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1 - Efekt 01, 02, 03 – 2 kolokwia pisemne z ćwiczeń.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2 - Efekt 02, 03, 04, 05 – doświadczalne prace zespołowe lub poglądowe, którego sprawdzenie odbędzie się poprzez  pytania dołączone do egzaminu 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3 - Efekt 01, 02, 03, 05 – egzamin pisemny z całości wykładów.</w:t>
            </w:r>
          </w:p>
        </w:tc>
      </w:tr>
      <w:tr w:rsidR="008C4C05" w:rsidTr="008C0689">
        <w:trPr>
          <w:trHeight w:val="6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 przypadku ćwiczeń – imienna kartoteka ocen studentów wraz ze stosowaną punktacją oraz oceną końcową. Egzamin – prace pisemne z treścią pytań.</w:t>
            </w:r>
          </w:p>
        </w:tc>
      </w:tr>
      <w:tr w:rsidR="008C4C05" w:rsidTr="008C0689">
        <w:trPr>
          <w:trHeight w:val="60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7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Waga każdego z elementów wymienionych w pkt. 19: 1 – 50%, 2 i 3 – 50%.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Warunkiem zaliczenia przedmiotu jest uzyskanie ze wszystkich elementów minimum 51%.</w:t>
            </w:r>
          </w:p>
        </w:tc>
      </w:tr>
      <w:tr w:rsidR="008C4C05" w:rsidTr="008C0689">
        <w:trPr>
          <w:trHeight w:val="340"/>
        </w:trPr>
        <w:tc>
          <w:tcPr>
            <w:tcW w:w="2835" w:type="dxa"/>
            <w:gridSpan w:val="2"/>
            <w:vAlign w:val="center"/>
          </w:tcPr>
          <w:p w:rsidR="008C4C05" w:rsidRDefault="008C0689" w:rsidP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7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Laboratorium, sala wykładowa, szklarnia</w:t>
            </w:r>
          </w:p>
        </w:tc>
      </w:tr>
      <w:tr w:rsidR="008C4C05" w:rsidTr="008C0689">
        <w:trPr>
          <w:trHeight w:val="1200"/>
        </w:trPr>
        <w:tc>
          <w:tcPr>
            <w:tcW w:w="10843" w:type="dxa"/>
            <w:gridSpan w:val="9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Uprawa roli i nawożenie roślin ogrodniczych, praca zbiorowa pod red. Prof. dr J. R.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Starcka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1997.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Warszawa. 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Łata B., Stankiewicz-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Kosyl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M., Wińska-Krysiak M. 2007. Przewodnik do uprawy roślin ogrodniczych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 SGGW, Warszawa.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Kacperska I.,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Oświecimski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W., Przeradzki D., Stojanowska J. 2000. Opracowywanie zaleceń nawozowych w ogrodnictwie, Wyd. SGGW, Warszawa 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Nowosielski O. 1988. Zasady opracowywania zaleceń nawozowych w ogrodnictwie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Warszawa. 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Starck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Chołuj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D., Niemyska B. 1993. Fizjologiczne reakcje roślin na niekorzystne czynniki środowiska, Wyd. SGGW, Warszawa.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Ustawa z dnia 10 lipca 2007 r. o nawozach i nawożeniu. Dz.U. z 2007 r. Nr 147, poz. 1033; ROZPORZADZENIE (WE) NR 2003/2003 PARLAMENTU EUR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OPEJSKIEGO I RADY z dnia 13 października 2003 r. w sprawie nawozów.</w:t>
            </w:r>
          </w:p>
        </w:tc>
      </w:tr>
      <w:tr w:rsidR="008C4C05" w:rsidTr="008C0689">
        <w:trPr>
          <w:trHeight w:val="460"/>
        </w:trPr>
        <w:tc>
          <w:tcPr>
            <w:tcW w:w="10843" w:type="dxa"/>
            <w:gridSpan w:val="9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Do wyliczenia oceny końcowej stosowana jest następująca skala: 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 – 5,0; 90-81% pkt – 4,5; 80-71% pkt – 4,0; 70-61% pkt – 3,5; 60-51% pkt – 3,0</w:t>
            </w:r>
          </w:p>
        </w:tc>
      </w:tr>
    </w:tbl>
    <w:p w:rsidR="008C4C05" w:rsidRDefault="008C4C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C4C05" w:rsidRDefault="008C06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W</w:t>
      </w:r>
      <w:r>
        <w:rPr>
          <w:rFonts w:ascii="Arial" w:eastAsia="Arial" w:hAnsi="Arial" w:cs="Arial"/>
          <w:color w:val="000000"/>
          <w:sz w:val="16"/>
          <w:szCs w:val="16"/>
        </w:rPr>
        <w:t>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>: Uprawa roli i żywienie roślin II</w:t>
      </w:r>
    </w:p>
    <w:p w:rsidR="008C4C05" w:rsidRDefault="008C4C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1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2355"/>
      </w:tblGrid>
      <w:tr w:rsidR="008C4C05" w:rsidTr="008C0689">
        <w:trPr>
          <w:trHeight w:val="420"/>
        </w:trPr>
        <w:tc>
          <w:tcPr>
            <w:tcW w:w="7830" w:type="dxa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55" w:type="dxa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113 h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5,0 ECTS</w:t>
            </w:r>
          </w:p>
        </w:tc>
      </w:tr>
      <w:tr w:rsidR="008C4C05" w:rsidTr="008C0689">
        <w:trPr>
          <w:trHeight w:val="380"/>
        </w:trPr>
        <w:tc>
          <w:tcPr>
            <w:tcW w:w="7830" w:type="dxa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355" w:type="dxa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43 h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8C4C05" w:rsidTr="008C0689">
        <w:trPr>
          <w:trHeight w:val="380"/>
        </w:trPr>
        <w:tc>
          <w:tcPr>
            <w:tcW w:w="7830" w:type="dxa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355" w:type="dxa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50 h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8C4C05" w:rsidRDefault="008C4C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C4C05" w:rsidRDefault="008C4C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C4C05" w:rsidRDefault="008C06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>: Uprawa roli i żywienie roślin II</w:t>
      </w:r>
    </w:p>
    <w:p w:rsidR="008C4C05" w:rsidRDefault="008C4C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5"/>
        <w:gridCol w:w="2355"/>
      </w:tblGrid>
      <w:tr w:rsidR="008C4C05" w:rsidRPr="008C0689" w:rsidTr="008C0689">
        <w:trPr>
          <w:trHeight w:val="380"/>
        </w:trPr>
        <w:tc>
          <w:tcPr>
            <w:tcW w:w="7815" w:type="dxa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prowadzonych podczas ćwiczeń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kolokwiów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konsultacjach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8C4C05" w:rsidRDefault="008C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355" w:type="dxa"/>
            <w:vAlign w:val="center"/>
          </w:tcPr>
          <w:p w:rsidR="008C4C05" w:rsidRPr="008C0689" w:rsidRDefault="008C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8C4C05" w:rsidRPr="008C0689" w:rsidRDefault="008C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8C4C05" w:rsidRPr="008C0689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C0689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9 h</w:t>
            </w:r>
          </w:p>
          <w:p w:rsidR="008C4C05" w:rsidRPr="008C0689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C0689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27 h</w:t>
            </w:r>
          </w:p>
          <w:p w:rsidR="008C4C05" w:rsidRPr="008C0689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C0689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 h</w:t>
            </w:r>
          </w:p>
          <w:p w:rsidR="008C4C05" w:rsidRPr="008C0689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C0689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22 h</w:t>
            </w:r>
          </w:p>
          <w:p w:rsidR="008C4C05" w:rsidRPr="008C0689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C0689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5 h</w:t>
            </w:r>
          </w:p>
          <w:p w:rsidR="008C4C05" w:rsidRPr="008C0689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C0689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30 h</w:t>
            </w:r>
          </w:p>
          <w:p w:rsidR="008C4C05" w:rsidRPr="008C0689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C0689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 h</w:t>
            </w:r>
          </w:p>
          <w:p w:rsidR="008C4C05" w:rsidRPr="008C0689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C0689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113 h</w:t>
            </w:r>
          </w:p>
          <w:p w:rsidR="008C4C05" w:rsidRPr="008C0689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8C0689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5,0 ECTS</w:t>
            </w:r>
          </w:p>
        </w:tc>
      </w:tr>
      <w:tr w:rsidR="008C4C05" w:rsidTr="008C0689">
        <w:trPr>
          <w:trHeight w:val="380"/>
        </w:trPr>
        <w:tc>
          <w:tcPr>
            <w:tcW w:w="7815" w:type="dxa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8C4C05" w:rsidRDefault="008C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355" w:type="dxa"/>
            <w:vAlign w:val="center"/>
          </w:tcPr>
          <w:p w:rsidR="008C4C05" w:rsidRDefault="008C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C4C05" w:rsidRDefault="008C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 h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43 h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8C4C05" w:rsidTr="008C0689">
        <w:trPr>
          <w:trHeight w:val="380"/>
        </w:trPr>
        <w:tc>
          <w:tcPr>
            <w:tcW w:w="7815" w:type="dxa"/>
            <w:vAlign w:val="center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prowadzonych podczas ćwiczeń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8C4C05" w:rsidRDefault="008C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355" w:type="dxa"/>
            <w:vAlign w:val="center"/>
          </w:tcPr>
          <w:p w:rsidR="008C4C05" w:rsidRDefault="008C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C4C05" w:rsidRDefault="008C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 h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50 h</w:t>
            </w:r>
          </w:p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8C4C05" w:rsidRDefault="008C4C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C4C05" w:rsidRDefault="008C4C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C4C05" w:rsidRDefault="008C4C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C4C05" w:rsidRDefault="008C06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</w:t>
      </w:r>
      <w:bookmarkStart w:id="0" w:name="_GoBack"/>
      <w:bookmarkEnd w:id="0"/>
      <w:r>
        <w:rPr>
          <w:rFonts w:ascii="Arial" w:eastAsia="Arial" w:hAnsi="Arial" w:cs="Arial"/>
          <w:color w:val="000000"/>
          <w:sz w:val="16"/>
          <w:szCs w:val="16"/>
        </w:rPr>
        <w:t>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Uprawa roli i żywienie roślin II</w:t>
      </w:r>
    </w:p>
    <w:p w:rsidR="008C4C05" w:rsidRDefault="008C4C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4815"/>
        <w:gridCol w:w="3525"/>
      </w:tblGrid>
      <w:tr w:rsidR="008C4C05" w:rsidTr="008C0689">
        <w:tc>
          <w:tcPr>
            <w:tcW w:w="1860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4815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525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8C4C05" w:rsidTr="008C0689">
        <w:tc>
          <w:tcPr>
            <w:tcW w:w="1860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15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różne systemy nawożenia i środki niezbędne w ich realizacji dostosowane do różnych technologii uprawy</w:t>
            </w:r>
          </w:p>
        </w:tc>
        <w:tc>
          <w:tcPr>
            <w:tcW w:w="3525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K_W01+, K_W06+++, K_W09++, K_W14++, K_U03++, K_U05++, K_U06+++, K_U12++, K_K07++</w:t>
            </w:r>
          </w:p>
        </w:tc>
      </w:tr>
      <w:tr w:rsidR="008C4C05" w:rsidTr="008C0689">
        <w:tc>
          <w:tcPr>
            <w:tcW w:w="1860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15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wykonać podstawową analizę chemiczną gleb/ziem/podłoży, wody  i materiału roślinnego w warunkach laboratoryjnych</w:t>
            </w:r>
          </w:p>
        </w:tc>
        <w:tc>
          <w:tcPr>
            <w:tcW w:w="3525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K_W01+, K_W10++, K_U09++, K_U12++, K_K06++</w:t>
            </w:r>
          </w:p>
        </w:tc>
      </w:tr>
      <w:tr w:rsidR="008C4C05" w:rsidTr="008C0689">
        <w:tc>
          <w:tcPr>
            <w:tcW w:w="1860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15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 zinterpretować wyniki analiz chemicznych oraz ocenić warunki siedliska i zagrożenia związane ze stosowaniem nawozów, aby prawidłowo opracowywać podstawowe zalecenia nawozowe dla poszczególnych grup roślin ogrodniczych</w:t>
            </w:r>
          </w:p>
        </w:tc>
        <w:tc>
          <w:tcPr>
            <w:tcW w:w="3525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K_W03++, K_W06+++, K_W08++, 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_W09+++, K_W11+, K_W14++, K_U03++, K_U05++, K_U06+++, K_U08++, K_U12++, K_K07++</w:t>
            </w:r>
          </w:p>
        </w:tc>
      </w:tr>
      <w:tr w:rsidR="008C4C05" w:rsidTr="008C0689">
        <w:tc>
          <w:tcPr>
            <w:tcW w:w="1860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15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wykazuje dociekliwość poznawczą</w:t>
            </w:r>
          </w:p>
        </w:tc>
        <w:tc>
          <w:tcPr>
            <w:tcW w:w="3525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K_U12++, K_K01++, K_K02++</w:t>
            </w:r>
          </w:p>
        </w:tc>
      </w:tr>
      <w:tr w:rsidR="008C4C05" w:rsidTr="008C0689">
        <w:tc>
          <w:tcPr>
            <w:tcW w:w="1860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15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świadomie dba o środowisko, prezentując postawę proekologiczną w planowaniu zabiegów związanych z żywieniem mineralnym roślin</w:t>
            </w:r>
          </w:p>
        </w:tc>
        <w:tc>
          <w:tcPr>
            <w:tcW w:w="3525" w:type="dxa"/>
          </w:tcPr>
          <w:p w:rsidR="008C4C05" w:rsidRDefault="008C0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K_K03+++, K_K04+++, K_K05+++, K_K07++</w:t>
            </w:r>
          </w:p>
        </w:tc>
      </w:tr>
    </w:tbl>
    <w:p w:rsidR="008C4C05" w:rsidRDefault="008C4C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C4C05" w:rsidRDefault="008C4C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8C4C05" w:rsidSect="008C0689">
      <w:pgSz w:w="11906" w:h="16838"/>
      <w:pgMar w:top="737" w:right="1418" w:bottom="737" w:left="62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4C05"/>
    <w:rsid w:val="008C0689"/>
    <w:rsid w:val="008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38BA4E-D277-45C2-8D8B-31ACD3FA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1180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Geszprych</cp:lastModifiedBy>
  <cp:revision>2</cp:revision>
  <dcterms:created xsi:type="dcterms:W3CDTF">2019-10-02T16:52:00Z</dcterms:created>
  <dcterms:modified xsi:type="dcterms:W3CDTF">2019-10-02T16:54:00Z</dcterms:modified>
</cp:coreProperties>
</file>