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W w:w="112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69"/>
        <w:gridCol w:w="1695"/>
        <w:gridCol w:w="2430"/>
        <w:gridCol w:w="1713"/>
        <w:gridCol w:w="367"/>
        <w:gridCol w:w="1031"/>
        <w:gridCol w:w="574"/>
        <w:gridCol w:w="1155"/>
        <w:gridCol w:w="793"/>
      </w:tblGrid>
      <w:tr w:rsidR="00560118">
        <w:trPr>
          <w:trHeight w:val="560"/>
        </w:trPr>
        <w:tc>
          <w:tcPr>
            <w:tcW w:w="1469" w:type="dxa"/>
            <w:shd w:val="clear" w:color="auto" w:fill="D9D9D9"/>
            <w:vAlign w:val="center"/>
          </w:tcPr>
          <w:p w:rsidR="00560118" w:rsidRDefault="00A10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Rok akademicki:</w:t>
            </w:r>
          </w:p>
        </w:tc>
        <w:tc>
          <w:tcPr>
            <w:tcW w:w="1695" w:type="dxa"/>
            <w:shd w:val="clear" w:color="auto" w:fill="D9D9D9"/>
            <w:vAlign w:val="center"/>
          </w:tcPr>
          <w:p w:rsidR="00560118" w:rsidRDefault="00BA3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209/2020</w:t>
            </w:r>
          </w:p>
        </w:tc>
        <w:tc>
          <w:tcPr>
            <w:tcW w:w="243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60118" w:rsidRDefault="00A10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Grupa przedmiotów:</w:t>
            </w:r>
          </w:p>
        </w:tc>
        <w:tc>
          <w:tcPr>
            <w:tcW w:w="2080" w:type="dxa"/>
            <w:gridSpan w:val="2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560118" w:rsidRDefault="00A10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Fakultatywny - kierunkowy</w:t>
            </w:r>
          </w:p>
        </w:tc>
        <w:tc>
          <w:tcPr>
            <w:tcW w:w="1605" w:type="dxa"/>
            <w:gridSpan w:val="2"/>
            <w:shd w:val="clear" w:color="auto" w:fill="D9D9D9"/>
            <w:vAlign w:val="center"/>
          </w:tcPr>
          <w:p w:rsidR="00560118" w:rsidRDefault="00A10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Numer katalogowy:</w:t>
            </w:r>
          </w:p>
        </w:tc>
        <w:tc>
          <w:tcPr>
            <w:tcW w:w="1948" w:type="dxa"/>
            <w:gridSpan w:val="2"/>
            <w:shd w:val="clear" w:color="auto" w:fill="D9D9D9"/>
            <w:vAlign w:val="center"/>
          </w:tcPr>
          <w:p w:rsidR="00560118" w:rsidRDefault="00A10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WOBiAK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-O/NS_Ist_FK23</w:t>
            </w:r>
          </w:p>
        </w:tc>
      </w:tr>
      <w:tr w:rsidR="00560118">
        <w:trPr>
          <w:trHeight w:val="40"/>
        </w:trPr>
        <w:tc>
          <w:tcPr>
            <w:tcW w:w="11227" w:type="dxa"/>
            <w:gridSpan w:val="9"/>
            <w:tcBorders>
              <w:left w:val="nil"/>
              <w:right w:val="nil"/>
            </w:tcBorders>
            <w:vAlign w:val="center"/>
          </w:tcPr>
          <w:p w:rsidR="00560118" w:rsidRDefault="005601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560118">
        <w:trPr>
          <w:trHeight w:val="340"/>
        </w:trPr>
        <w:tc>
          <w:tcPr>
            <w:tcW w:w="31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118" w:rsidRDefault="00A10136" w:rsidP="00F71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C0C0C0"/>
              </w:rPr>
            </w:pPr>
            <w:r>
              <w:rPr>
                <w:rFonts w:ascii="Arial" w:eastAsia="Arial" w:hAnsi="Arial" w:cs="Arial"/>
                <w:color w:val="000000"/>
              </w:rPr>
              <w:t>Nazwa przedmiotu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1)</w:t>
            </w:r>
            <w:r>
              <w:rPr>
                <w:rFonts w:ascii="Arial" w:eastAsia="Arial" w:hAnsi="Arial" w:cs="Arial"/>
                <w:color w:val="000000"/>
              </w:rPr>
              <w:t xml:space="preserve">:  </w:t>
            </w:r>
          </w:p>
        </w:tc>
        <w:tc>
          <w:tcPr>
            <w:tcW w:w="6115" w:type="dxa"/>
            <w:gridSpan w:val="5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60118" w:rsidRDefault="00A10136" w:rsidP="00F71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Rośliny ogrodnicze w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fitoremediacji</w:t>
            </w:r>
            <w:proofErr w:type="spellEnd"/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60118" w:rsidRDefault="00A10136" w:rsidP="00F71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ECTS 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7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60118" w:rsidRDefault="00A10136" w:rsidP="00F71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3</w:t>
            </w:r>
          </w:p>
        </w:tc>
      </w:tr>
      <w:tr w:rsidR="00560118" w:rsidRPr="00BA3649">
        <w:trPr>
          <w:trHeight w:val="340"/>
        </w:trPr>
        <w:tc>
          <w:tcPr>
            <w:tcW w:w="3164" w:type="dxa"/>
            <w:gridSpan w:val="2"/>
            <w:tcBorders>
              <w:top w:val="single" w:sz="4" w:space="0" w:color="000000"/>
            </w:tcBorders>
            <w:vAlign w:val="center"/>
          </w:tcPr>
          <w:p w:rsidR="00560118" w:rsidRDefault="00A10136" w:rsidP="00F71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92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Tłumaczenie nazwy na jęz. angielski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8063" w:type="dxa"/>
            <w:gridSpan w:val="7"/>
            <w:vAlign w:val="center"/>
          </w:tcPr>
          <w:p w:rsidR="00560118" w:rsidRPr="00A10136" w:rsidRDefault="00A10136" w:rsidP="00FC7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A10136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 xml:space="preserve">Horticulture plants in phytoremediation </w:t>
            </w:r>
            <w:bookmarkStart w:id="0" w:name="_GoBack"/>
            <w:bookmarkEnd w:id="0"/>
          </w:p>
        </w:tc>
      </w:tr>
      <w:tr w:rsidR="00560118">
        <w:trPr>
          <w:trHeight w:val="340"/>
        </w:trPr>
        <w:tc>
          <w:tcPr>
            <w:tcW w:w="3164" w:type="dxa"/>
            <w:gridSpan w:val="2"/>
            <w:vAlign w:val="center"/>
          </w:tcPr>
          <w:p w:rsidR="00560118" w:rsidRDefault="00A10136" w:rsidP="00F71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Kierunek studiów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8063" w:type="dxa"/>
            <w:gridSpan w:val="7"/>
            <w:vAlign w:val="center"/>
          </w:tcPr>
          <w:p w:rsidR="00560118" w:rsidRDefault="00A10136" w:rsidP="00F71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Ogrodnictwo </w:t>
            </w:r>
          </w:p>
        </w:tc>
      </w:tr>
      <w:tr w:rsidR="00560118">
        <w:trPr>
          <w:trHeight w:val="340"/>
        </w:trPr>
        <w:tc>
          <w:tcPr>
            <w:tcW w:w="3164" w:type="dxa"/>
            <w:gridSpan w:val="2"/>
            <w:vAlign w:val="center"/>
          </w:tcPr>
          <w:p w:rsidR="00560118" w:rsidRDefault="00A10136" w:rsidP="00F71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Koordynator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5)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8063" w:type="dxa"/>
            <w:gridSpan w:val="7"/>
            <w:vAlign w:val="center"/>
          </w:tcPr>
          <w:p w:rsidR="00560118" w:rsidRDefault="00A10136" w:rsidP="00F71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Dr inż. Arkadiusz Przybysz</w:t>
            </w:r>
          </w:p>
        </w:tc>
      </w:tr>
      <w:tr w:rsidR="00560118">
        <w:trPr>
          <w:trHeight w:val="340"/>
        </w:trPr>
        <w:tc>
          <w:tcPr>
            <w:tcW w:w="3164" w:type="dxa"/>
            <w:gridSpan w:val="2"/>
            <w:vAlign w:val="center"/>
          </w:tcPr>
          <w:p w:rsidR="00560118" w:rsidRDefault="00A10136" w:rsidP="00F71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Prowadzący zajęcia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6)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8063" w:type="dxa"/>
            <w:gridSpan w:val="7"/>
            <w:vAlign w:val="center"/>
          </w:tcPr>
          <w:p w:rsidR="00560118" w:rsidRDefault="00A10136" w:rsidP="00F71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Dr inż. Arkadiusz Przybysz</w:t>
            </w:r>
          </w:p>
        </w:tc>
      </w:tr>
      <w:tr w:rsidR="00560118">
        <w:trPr>
          <w:trHeight w:val="340"/>
        </w:trPr>
        <w:tc>
          <w:tcPr>
            <w:tcW w:w="3164" w:type="dxa"/>
            <w:gridSpan w:val="2"/>
            <w:vAlign w:val="center"/>
          </w:tcPr>
          <w:p w:rsidR="00560118" w:rsidRDefault="00A10136" w:rsidP="00F71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Jednostka realizująca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7)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63" w:type="dxa"/>
            <w:gridSpan w:val="7"/>
            <w:vAlign w:val="center"/>
          </w:tcPr>
          <w:p w:rsidR="00560118" w:rsidRDefault="00A10136" w:rsidP="00F71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Zakład Przyrodniczych Podstaw Ogrodnictwa</w:t>
            </w:r>
            <w:r w:rsidR="00BA3649">
              <w:rPr>
                <w:rFonts w:ascii="Arial" w:eastAsia="Arial" w:hAnsi="Arial" w:cs="Arial"/>
                <w:color w:val="000000"/>
                <w:sz w:val="16"/>
                <w:szCs w:val="16"/>
              </w:rPr>
              <w:t>, Katedra Ochrony Roślin, Instytut Nauk Ogrodniczych</w:t>
            </w:r>
          </w:p>
        </w:tc>
      </w:tr>
      <w:tr w:rsidR="00560118">
        <w:trPr>
          <w:trHeight w:val="340"/>
        </w:trPr>
        <w:tc>
          <w:tcPr>
            <w:tcW w:w="3164" w:type="dxa"/>
            <w:gridSpan w:val="2"/>
            <w:vAlign w:val="center"/>
          </w:tcPr>
          <w:p w:rsidR="00560118" w:rsidRDefault="00A10136" w:rsidP="00F71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Wydział, dla którego przedmiot jest realizowany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63" w:type="dxa"/>
            <w:gridSpan w:val="7"/>
            <w:vAlign w:val="center"/>
          </w:tcPr>
          <w:p w:rsidR="00560118" w:rsidRDefault="00BA3649" w:rsidP="00F71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Wydział Ogrodnictwa i</w:t>
            </w:r>
            <w:r w:rsidR="00A10136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Biotechn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ologii </w:t>
            </w:r>
          </w:p>
        </w:tc>
      </w:tr>
      <w:tr w:rsidR="00560118">
        <w:trPr>
          <w:trHeight w:val="340"/>
        </w:trPr>
        <w:tc>
          <w:tcPr>
            <w:tcW w:w="3164" w:type="dxa"/>
            <w:gridSpan w:val="2"/>
            <w:vAlign w:val="center"/>
          </w:tcPr>
          <w:p w:rsidR="00560118" w:rsidRDefault="00A10136" w:rsidP="00F71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Status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9)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2430" w:type="dxa"/>
            <w:vAlign w:val="center"/>
          </w:tcPr>
          <w:p w:rsidR="00560118" w:rsidRDefault="00A10136" w:rsidP="00F71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a) przedmiot fakultatywny - kierunkowy</w:t>
            </w:r>
          </w:p>
        </w:tc>
        <w:tc>
          <w:tcPr>
            <w:tcW w:w="3111" w:type="dxa"/>
            <w:gridSpan w:val="3"/>
            <w:vAlign w:val="center"/>
          </w:tcPr>
          <w:p w:rsidR="00560118" w:rsidRDefault="00A10136" w:rsidP="00F71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b) stopień I, rok III</w:t>
            </w:r>
          </w:p>
        </w:tc>
        <w:tc>
          <w:tcPr>
            <w:tcW w:w="2522" w:type="dxa"/>
            <w:gridSpan w:val="3"/>
            <w:vAlign w:val="center"/>
          </w:tcPr>
          <w:p w:rsidR="00560118" w:rsidRDefault="00A10136" w:rsidP="00F71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c)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niestacjonarne</w:t>
            </w:r>
          </w:p>
        </w:tc>
      </w:tr>
      <w:tr w:rsidR="00560118">
        <w:trPr>
          <w:trHeight w:val="340"/>
        </w:trPr>
        <w:tc>
          <w:tcPr>
            <w:tcW w:w="3164" w:type="dxa"/>
            <w:gridSpan w:val="2"/>
            <w:vAlign w:val="center"/>
          </w:tcPr>
          <w:p w:rsidR="00560118" w:rsidRDefault="00A10136" w:rsidP="00F71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Cykl dydaktyczny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10)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2430" w:type="dxa"/>
            <w:vAlign w:val="center"/>
          </w:tcPr>
          <w:p w:rsidR="00560118" w:rsidRDefault="00A10136" w:rsidP="00F71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Semestr letni</w:t>
            </w:r>
          </w:p>
        </w:tc>
        <w:tc>
          <w:tcPr>
            <w:tcW w:w="3111" w:type="dxa"/>
            <w:gridSpan w:val="3"/>
            <w:vAlign w:val="center"/>
          </w:tcPr>
          <w:p w:rsidR="00560118" w:rsidRDefault="00A10136" w:rsidP="00F71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Jęz. wykładowy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11)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 polski</w:t>
            </w:r>
          </w:p>
        </w:tc>
        <w:tc>
          <w:tcPr>
            <w:tcW w:w="2522" w:type="dxa"/>
            <w:gridSpan w:val="3"/>
            <w:vAlign w:val="center"/>
          </w:tcPr>
          <w:p w:rsidR="00560118" w:rsidRDefault="00560118" w:rsidP="00F71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560118">
        <w:trPr>
          <w:trHeight w:val="480"/>
        </w:trPr>
        <w:tc>
          <w:tcPr>
            <w:tcW w:w="3164" w:type="dxa"/>
            <w:gridSpan w:val="2"/>
            <w:vAlign w:val="center"/>
          </w:tcPr>
          <w:p w:rsidR="00560118" w:rsidRDefault="00A10136" w:rsidP="00F71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Założenia i cele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12)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63" w:type="dxa"/>
            <w:gridSpan w:val="7"/>
            <w:vAlign w:val="center"/>
          </w:tcPr>
          <w:p w:rsidR="00560118" w:rsidRDefault="00A10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Zapoznanie studentów z aktualną wiedzą z zakresu zdolności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fitoremediacyjnych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roślin oraz podstaw wykorzystanie tego działu biotechnologii środowiskowej do naprawy zdegradowanego środowiska.</w:t>
            </w:r>
          </w:p>
        </w:tc>
      </w:tr>
      <w:tr w:rsidR="00560118">
        <w:trPr>
          <w:trHeight w:val="340"/>
        </w:trPr>
        <w:tc>
          <w:tcPr>
            <w:tcW w:w="3164" w:type="dxa"/>
            <w:gridSpan w:val="2"/>
            <w:vAlign w:val="center"/>
          </w:tcPr>
          <w:p w:rsidR="00560118" w:rsidRDefault="00A10136" w:rsidP="00F71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Formy dydaktyczne, liczba godzin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63" w:type="dxa"/>
            <w:gridSpan w:val="7"/>
            <w:vAlign w:val="center"/>
          </w:tcPr>
          <w:p w:rsidR="00560118" w:rsidRDefault="00A1013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6"/>
                <w:tab w:val="left" w:pos="4348"/>
              </w:tabs>
              <w:ind w:left="396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Wykłady: 18 h</w:t>
            </w:r>
          </w:p>
          <w:p w:rsidR="00560118" w:rsidRDefault="00A1013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6"/>
                <w:tab w:val="left" w:pos="4348"/>
              </w:tabs>
              <w:ind w:left="396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 laboratoryjne: 9 h</w:t>
            </w:r>
          </w:p>
        </w:tc>
      </w:tr>
      <w:tr w:rsidR="00560118">
        <w:trPr>
          <w:trHeight w:val="140"/>
        </w:trPr>
        <w:tc>
          <w:tcPr>
            <w:tcW w:w="3164" w:type="dxa"/>
            <w:gridSpan w:val="2"/>
            <w:vAlign w:val="center"/>
          </w:tcPr>
          <w:p w:rsidR="00560118" w:rsidRDefault="00A10136" w:rsidP="00F71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Metody dydaktyczne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63" w:type="dxa"/>
            <w:gridSpan w:val="7"/>
            <w:vAlign w:val="center"/>
          </w:tcPr>
          <w:p w:rsidR="00560118" w:rsidRDefault="00A10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Wykłady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prezentacje z zastosowaniem technik multimedialnych. </w:t>
            </w:r>
          </w:p>
          <w:p w:rsidR="00560118" w:rsidRDefault="00A10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Ćwiczenia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Eksperymenty  przeprowadzone przez studentów  w zespołach 2-3 osobowych w szklarni i laboratorium, analityka zanieczyszczeń gleby i powietrza, ocena zdolności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fitoremediacyjnej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wybranych gatunków roślin. Analiza i interpretacja uzyskanych wyników. Dyskusja.</w:t>
            </w:r>
          </w:p>
        </w:tc>
      </w:tr>
      <w:tr w:rsidR="00560118">
        <w:trPr>
          <w:trHeight w:val="2220"/>
        </w:trPr>
        <w:tc>
          <w:tcPr>
            <w:tcW w:w="3164" w:type="dxa"/>
            <w:gridSpan w:val="2"/>
            <w:vAlign w:val="center"/>
          </w:tcPr>
          <w:p w:rsidR="00560118" w:rsidRDefault="00A10136" w:rsidP="00F71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Pełny opis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15)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63" w:type="dxa"/>
            <w:gridSpan w:val="7"/>
            <w:vAlign w:val="center"/>
          </w:tcPr>
          <w:p w:rsidR="00560118" w:rsidRDefault="00A10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-92" w:hanging="36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>Tematyka wykładów:</w:t>
            </w:r>
          </w:p>
          <w:p w:rsidR="00560118" w:rsidRDefault="00A10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9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W trakcie wykładów zaprezentowane zostaną definicje i działy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fitoremediacji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Omówione będą źródła i zagrożenia związane z poszczególnymi grupami zanieczyszczeń (metale ciężkie i szlachetne, związki organiczne, zanieczyszczenia powietrza i wody) oraz najważniejsze rodziny i gatunki roślin polecane do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fitoremediacji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.. Przekazana zostanie najnowsza wiedza na temat metod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fitoremediacji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metali ciężkich i szlachetnych, zanieczyszczeń organicznych, pyłu zawieszonego oraz gazów (NO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, CO, 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bscript"/>
              </w:rPr>
              <w:t>3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) z gleby, wody i powietrza. Omówiona będzie rola bakterii i grzybów w procesach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fitoremediacji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Podsumowaniem wykładów będzie próba oceny skuteczności i opłacalności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fitoremediacji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w porównaniu z konwencjonalnymi metodami oczyszczania środowiska. </w:t>
            </w:r>
          </w:p>
          <w:p w:rsidR="00560118" w:rsidRDefault="00A10136" w:rsidP="00F71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 xml:space="preserve">Tematyka ćwiczeń: </w:t>
            </w:r>
          </w:p>
          <w:p w:rsidR="00560118" w:rsidRDefault="00A10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hanging="14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Ćwiczenia laboratoryjne i szklarniowe zapoznają studentów z praktyczną stroną: </w:t>
            </w:r>
          </w:p>
          <w:p w:rsidR="00560118" w:rsidRDefault="00A10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hanging="14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1.Fitoremediacji metali ciężkich z gleby. Zaprezentowane będą wybrane metody analizy zanieczyszczonej gleby. Studenci dokonają selekcji gatunków roślin w skażonym środowisku, przeprowadzą ocenę ich wzrostu i rozwoju podczas procesu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fitoremediacji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, oznaczą ilość pobranych metali ciężkich oraz spróbują oszacować wpływ bakterii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endofitycznych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i/lub grzybów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mikorytycznych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na ten proces. </w:t>
            </w:r>
          </w:p>
          <w:p w:rsidR="00560118" w:rsidRDefault="00A10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hanging="14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2.Fitoremediacja powietrza. Studenci ocenią wybrane gatunki roślin do akumulacji pyłu zawieszonego z powietrza. Oszacowany będzie wpływ wosków roślinnych na ten proces.</w:t>
            </w:r>
          </w:p>
          <w:p w:rsidR="00560118" w:rsidRDefault="00A10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hanging="14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3.Bioremediacja zanieczyszczeń organicznych (wielopierścieniowe węglowodory aromatyczne, zużyty olej silnikowy) z zastosowaniem boczniaka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ostrygowatego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Pleurotus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ostreatus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) lub bakterii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endofitycznych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  <w:p w:rsidR="00560118" w:rsidRDefault="00A10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Studenci zapoznani zostaną z najważniejszymi czynnikami wpływającymi na procesy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fitoremediacji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i metodami zwiększenia jej intensywności.</w:t>
            </w:r>
          </w:p>
        </w:tc>
      </w:tr>
      <w:tr w:rsidR="00560118">
        <w:trPr>
          <w:trHeight w:val="340"/>
        </w:trPr>
        <w:tc>
          <w:tcPr>
            <w:tcW w:w="3164" w:type="dxa"/>
            <w:gridSpan w:val="2"/>
            <w:vAlign w:val="center"/>
          </w:tcPr>
          <w:p w:rsidR="00560118" w:rsidRDefault="00A10136" w:rsidP="00F71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Wymagania formalne  (przedmioty wprowadzające)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16)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63" w:type="dxa"/>
            <w:gridSpan w:val="7"/>
            <w:vAlign w:val="center"/>
          </w:tcPr>
          <w:p w:rsidR="00560118" w:rsidRDefault="00A10136" w:rsidP="00F71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Biochemia, Fizjologia roślin, Uprawa roli i żywienie roślin I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II, Gleboznawstwo</w:t>
            </w:r>
          </w:p>
        </w:tc>
      </w:tr>
      <w:tr w:rsidR="00560118">
        <w:trPr>
          <w:trHeight w:val="340"/>
        </w:trPr>
        <w:tc>
          <w:tcPr>
            <w:tcW w:w="3164" w:type="dxa"/>
            <w:gridSpan w:val="2"/>
            <w:vAlign w:val="center"/>
          </w:tcPr>
          <w:p w:rsidR="00560118" w:rsidRDefault="00A10136" w:rsidP="00F71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Założenia wstępne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17)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63" w:type="dxa"/>
            <w:gridSpan w:val="7"/>
            <w:vAlign w:val="center"/>
          </w:tcPr>
          <w:p w:rsidR="00560118" w:rsidRDefault="00A10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Student posiada podstawową wiedzę z wyżej wymienionych przedmiotów.</w:t>
            </w:r>
          </w:p>
        </w:tc>
      </w:tr>
      <w:tr w:rsidR="00560118">
        <w:trPr>
          <w:trHeight w:val="900"/>
        </w:trPr>
        <w:tc>
          <w:tcPr>
            <w:tcW w:w="3164" w:type="dxa"/>
            <w:gridSpan w:val="2"/>
            <w:vAlign w:val="center"/>
          </w:tcPr>
          <w:p w:rsidR="00560118" w:rsidRDefault="00A10136" w:rsidP="00F71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Efekty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4143" w:type="dxa"/>
            <w:gridSpan w:val="2"/>
            <w:vAlign w:val="center"/>
          </w:tcPr>
          <w:p w:rsidR="00560118" w:rsidRDefault="00A10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01 – zna podstawy fizjologiczne i środowiskowe, na których opiera się biotechnologia środowiskowa zwana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fitoremediacją</w:t>
            </w:r>
            <w:proofErr w:type="spellEnd"/>
          </w:p>
          <w:p w:rsidR="00560118" w:rsidRDefault="00A10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 – zna podstawowe mechanizmy obronne roślin przed zanieczyszczeniami metalami ciężkimi i związkami organicznymi</w:t>
            </w:r>
          </w:p>
          <w:p w:rsidR="00560118" w:rsidRDefault="00A10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03 – wykazuje się znajomością głównych zanieczyszczeń gleby, wody i powietrza</w:t>
            </w:r>
          </w:p>
        </w:tc>
        <w:tc>
          <w:tcPr>
            <w:tcW w:w="3920" w:type="dxa"/>
            <w:gridSpan w:val="5"/>
          </w:tcPr>
          <w:p w:rsidR="00560118" w:rsidRDefault="00A10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04 – potrafi wykorzystać rośliny ogrodnicze w technologii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fitoremediacji</w:t>
            </w:r>
            <w:proofErr w:type="spellEnd"/>
          </w:p>
          <w:p w:rsidR="00560118" w:rsidRDefault="00A10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05 – potrafi zalecić najbardziej korzystny wariant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fitoremediacji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dla danego skażonego stanowiska</w:t>
            </w:r>
          </w:p>
          <w:p w:rsidR="00560118" w:rsidRDefault="00A10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06 – wykazuje dużą odpowiedzialność w ocenie zagrożeń środowiskowych, uwzględniając szeroko rozumiany interes społeczny</w:t>
            </w:r>
          </w:p>
        </w:tc>
      </w:tr>
      <w:tr w:rsidR="00560118">
        <w:trPr>
          <w:trHeight w:val="280"/>
        </w:trPr>
        <w:tc>
          <w:tcPr>
            <w:tcW w:w="3164" w:type="dxa"/>
            <w:gridSpan w:val="2"/>
            <w:vAlign w:val="center"/>
          </w:tcPr>
          <w:p w:rsidR="00560118" w:rsidRDefault="00A10136" w:rsidP="00F71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Sposób weryfikacji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19)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63" w:type="dxa"/>
            <w:gridSpan w:val="7"/>
            <w:vAlign w:val="center"/>
          </w:tcPr>
          <w:p w:rsidR="00560118" w:rsidRDefault="00A10136" w:rsidP="00F71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1. Kolokwium z materiału wykładowego (efekty kształcenia: 01, 02, 03, 04, 05 i 06). 2. Aktywność na zajęciach (efekty kształcenia 03, 04 i 05).</w:t>
            </w:r>
          </w:p>
        </w:tc>
      </w:tr>
      <w:tr w:rsidR="00560118">
        <w:trPr>
          <w:trHeight w:val="340"/>
        </w:trPr>
        <w:tc>
          <w:tcPr>
            <w:tcW w:w="3164" w:type="dxa"/>
            <w:gridSpan w:val="2"/>
            <w:vAlign w:val="center"/>
          </w:tcPr>
          <w:p w:rsidR="00560118" w:rsidRDefault="00A10136" w:rsidP="00F71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Forma dokumentacji osiągniętych efektów kształcenia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20)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63" w:type="dxa"/>
            <w:gridSpan w:val="7"/>
            <w:vAlign w:val="center"/>
          </w:tcPr>
          <w:p w:rsidR="00560118" w:rsidRDefault="00A10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Imienna kartoteka obecności na zajęciach i ich aktywności w trakcie zajęć. Zarchiwizowane projekty.</w:t>
            </w:r>
          </w:p>
        </w:tc>
      </w:tr>
      <w:tr w:rsidR="00560118">
        <w:trPr>
          <w:trHeight w:val="320"/>
        </w:trPr>
        <w:tc>
          <w:tcPr>
            <w:tcW w:w="3164" w:type="dxa"/>
            <w:gridSpan w:val="2"/>
            <w:vAlign w:val="center"/>
          </w:tcPr>
          <w:p w:rsidR="00560118" w:rsidRDefault="00A10136" w:rsidP="00F71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Elementy i wagi mające wpływ na ocenę końcową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21)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63" w:type="dxa"/>
            <w:gridSpan w:val="7"/>
            <w:vAlign w:val="center"/>
          </w:tcPr>
          <w:p w:rsidR="00560118" w:rsidRDefault="00A10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Waga każdego z elementów wymienionych w pkt. 19: 1 – 90%, 2 – 10%.</w:t>
            </w:r>
          </w:p>
          <w:p w:rsidR="00560118" w:rsidRDefault="00A10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Warunkiem zaliczenia przedmiotu jest uzyskanie ze wszystkich elementów minimum 51%.</w:t>
            </w:r>
          </w:p>
        </w:tc>
      </w:tr>
      <w:tr w:rsidR="00560118">
        <w:trPr>
          <w:trHeight w:val="240"/>
        </w:trPr>
        <w:tc>
          <w:tcPr>
            <w:tcW w:w="3164" w:type="dxa"/>
            <w:gridSpan w:val="2"/>
            <w:vAlign w:val="center"/>
          </w:tcPr>
          <w:p w:rsidR="00560118" w:rsidRDefault="00A10136" w:rsidP="00F71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Miejsce realizacji zajęć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22)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8063" w:type="dxa"/>
            <w:gridSpan w:val="7"/>
            <w:vAlign w:val="center"/>
          </w:tcPr>
          <w:p w:rsidR="00560118" w:rsidRDefault="00A10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Sala wykładowa, laboratorium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fitoremediacji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i Szklarnia Doświadczalna SZPPO,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WOBiAK</w:t>
            </w:r>
            <w:proofErr w:type="spellEnd"/>
          </w:p>
        </w:tc>
      </w:tr>
      <w:tr w:rsidR="00560118" w:rsidRPr="00FC7BE3">
        <w:trPr>
          <w:trHeight w:val="1200"/>
        </w:trPr>
        <w:tc>
          <w:tcPr>
            <w:tcW w:w="11227" w:type="dxa"/>
            <w:gridSpan w:val="9"/>
            <w:vAlign w:val="center"/>
          </w:tcPr>
          <w:p w:rsidR="00560118" w:rsidRDefault="00A10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Literatura podstawowa i uzupełniająca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  <w:p w:rsidR="00560118" w:rsidRPr="00A10136" w:rsidRDefault="00A10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GB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1/Gawroński S.W.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Greger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M., Gawrońska 2011. </w:t>
            </w:r>
            <w:r w:rsidRPr="00A10136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 xml:space="preserve">Plant taxonomy in metal phytoremediation. In: Eds. </w:t>
            </w:r>
            <w:proofErr w:type="spellStart"/>
            <w:r w:rsidRPr="00A10136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Sherameti</w:t>
            </w:r>
            <w:proofErr w:type="spellEnd"/>
            <w:r w:rsidRPr="00A10136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 xml:space="preserve"> I., Varma A. 2011. Detoxification of Heavy Metals, Springer-</w:t>
            </w:r>
            <w:proofErr w:type="spellStart"/>
            <w:r w:rsidRPr="00A10136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Verlag</w:t>
            </w:r>
            <w:proofErr w:type="spellEnd"/>
            <w:r w:rsidRPr="00A10136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 xml:space="preserve">: 91-110.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2/Gawroński S.W. 2011.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Fitoremediacja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terenów zurbanizowanych jako środek poprawy jakości życia. In: Zielone strategie na rzecz środowiska.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Arti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Grafiche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La Torre:137-149. 4/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Gawronski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S.W.,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Gawronska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H.,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Rokosza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J. 2007. Ochronna i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fitoremediacjna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rola roślin w krajobrazie kulturowym. W: Ed. J. Rylke. Przyroda i miasto, tom X s. 126-132. </w:t>
            </w:r>
            <w:r w:rsidRPr="00A10136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 xml:space="preserve">5/Bell J.N.B., </w:t>
            </w:r>
            <w:proofErr w:type="spellStart"/>
            <w:r w:rsidRPr="00A10136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Treshow</w:t>
            </w:r>
            <w:proofErr w:type="spellEnd"/>
            <w:r w:rsidRPr="00A10136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 xml:space="preserve"> M. 2002. Air Pollution and Plant Life. J. Wiley &amp; Sons Ltd s.465. 6/ McCutcheon S.C., </w:t>
            </w:r>
            <w:proofErr w:type="spellStart"/>
            <w:r w:rsidRPr="00A10136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Schnoor</w:t>
            </w:r>
            <w:proofErr w:type="spellEnd"/>
            <w:r w:rsidRPr="00A10136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 xml:space="preserve"> J.L. 2003. Phytoremediation: Transformation and Control of Contamination.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J.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Wiley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&amp; Sons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Ltd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s.987.7/Dzierżanowski K., Popek R., Gawrońska H.,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Sæbø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A., Gawroński S.W., 2011. </w:t>
            </w:r>
            <w:r w:rsidRPr="00A10136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 xml:space="preserve">Deposition of particulate matter of different size fractions on leaf surfaces and in waxes of urban forest species.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International Journal of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Phytoremediation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13: 1037-1046. 8/ Popek R., Gawrońska H, Gawroński S.W. Zdolność krzewów do akumulacji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mikropyłów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z powietrza w terenie zurbanizowanym. </w:t>
            </w:r>
            <w:proofErr w:type="spellStart"/>
            <w:r w:rsidRPr="00A10136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Nauka</w:t>
            </w:r>
            <w:proofErr w:type="spellEnd"/>
            <w:r w:rsidRPr="00A10136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A10136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Przyroda</w:t>
            </w:r>
            <w:proofErr w:type="spellEnd"/>
            <w:r w:rsidRPr="00A10136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A10136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Technologie</w:t>
            </w:r>
            <w:proofErr w:type="spellEnd"/>
            <w:r w:rsidRPr="00A10136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 xml:space="preserve"> 5 (6). 9/</w:t>
            </w:r>
            <w:proofErr w:type="spellStart"/>
            <w:r w:rsidRPr="00A10136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Żmirek</w:t>
            </w:r>
            <w:proofErr w:type="spellEnd"/>
            <w:r w:rsidRPr="00A10136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 xml:space="preserve"> M,, </w:t>
            </w:r>
            <w:proofErr w:type="spellStart"/>
            <w:r w:rsidRPr="00A10136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Gawroński</w:t>
            </w:r>
            <w:proofErr w:type="spellEnd"/>
            <w:r w:rsidRPr="00A10136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 xml:space="preserve"> S.W. 2009. Survey of plant species present on Constructed Wetlands in </w:t>
            </w:r>
            <w:proofErr w:type="spellStart"/>
            <w:r w:rsidRPr="00A10136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Opalenica</w:t>
            </w:r>
            <w:proofErr w:type="spellEnd"/>
            <w:r w:rsidRPr="00A10136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 xml:space="preserve"> Municipality, Annals of Warsaw University of Life Science- SGGW, Land  Reclamation No 41 (2) :143-152.</w:t>
            </w:r>
          </w:p>
        </w:tc>
      </w:tr>
      <w:tr w:rsidR="00560118">
        <w:trPr>
          <w:trHeight w:val="460"/>
        </w:trPr>
        <w:tc>
          <w:tcPr>
            <w:tcW w:w="11227" w:type="dxa"/>
            <w:gridSpan w:val="9"/>
            <w:vAlign w:val="center"/>
          </w:tcPr>
          <w:p w:rsidR="00560118" w:rsidRDefault="00A10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UWAGI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 Do wyliczenia oceny końcowej stosowana jest następująca skala:</w:t>
            </w:r>
          </w:p>
          <w:p w:rsidR="00560118" w:rsidRDefault="00A10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100-91% pkt – 5,0; 90-81% pkt – 4,5; 80-71% pkt – 4,0; 70-61% pkt – 3,5; 60-51% pkt – 3,0</w:t>
            </w:r>
          </w:p>
        </w:tc>
      </w:tr>
    </w:tbl>
    <w:p w:rsidR="00F7190D" w:rsidRDefault="00F7190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F7190D" w:rsidRDefault="00F7190D" w:rsidP="00F7190D">
      <w:pP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br w:type="page"/>
      </w:r>
    </w:p>
    <w:p w:rsidR="00F7190D" w:rsidRDefault="00F7190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F7190D" w:rsidRDefault="00F7190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F7190D" w:rsidRDefault="00F7190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560118" w:rsidRDefault="00A101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Wskaźniki ilościowe charakteryzujące moduł/przedmiot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>25)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: Rośliny ogrodnicze w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fitoremediacji</w:t>
      </w:r>
      <w:proofErr w:type="spellEnd"/>
    </w:p>
    <w:p w:rsidR="00560118" w:rsidRDefault="0056011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0"/>
        <w:tblW w:w="10065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552"/>
      </w:tblGrid>
      <w:tr w:rsidR="00560118" w:rsidTr="00F7190D">
        <w:trPr>
          <w:trHeight w:val="460"/>
        </w:trPr>
        <w:tc>
          <w:tcPr>
            <w:tcW w:w="7513" w:type="dxa"/>
            <w:vAlign w:val="center"/>
          </w:tcPr>
          <w:p w:rsidR="00560118" w:rsidRDefault="00A10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2552" w:type="dxa"/>
            <w:vAlign w:val="center"/>
          </w:tcPr>
          <w:p w:rsidR="00560118" w:rsidRDefault="00A10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72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h</w:t>
            </w:r>
          </w:p>
          <w:p w:rsidR="00560118" w:rsidRDefault="00A10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3,0 ECTS</w:t>
            </w:r>
          </w:p>
        </w:tc>
      </w:tr>
      <w:tr w:rsidR="00560118" w:rsidTr="00F7190D">
        <w:trPr>
          <w:trHeight w:val="380"/>
        </w:trPr>
        <w:tc>
          <w:tcPr>
            <w:tcW w:w="7513" w:type="dxa"/>
            <w:vAlign w:val="center"/>
          </w:tcPr>
          <w:p w:rsidR="00560118" w:rsidRDefault="00A10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uzyskuje na zajęciach wymagających bezpośredniego udziału nauczycieli akademickich:</w:t>
            </w:r>
          </w:p>
        </w:tc>
        <w:tc>
          <w:tcPr>
            <w:tcW w:w="2552" w:type="dxa"/>
            <w:vAlign w:val="center"/>
          </w:tcPr>
          <w:p w:rsidR="00560118" w:rsidRDefault="00A10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37 h</w:t>
            </w:r>
          </w:p>
          <w:p w:rsidR="00560118" w:rsidRDefault="00A10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1,5 ECTS</w:t>
            </w:r>
          </w:p>
        </w:tc>
      </w:tr>
      <w:tr w:rsidR="00560118" w:rsidTr="00F7190D">
        <w:trPr>
          <w:trHeight w:val="380"/>
        </w:trPr>
        <w:tc>
          <w:tcPr>
            <w:tcW w:w="7513" w:type="dxa"/>
            <w:vAlign w:val="center"/>
          </w:tcPr>
          <w:p w:rsidR="00560118" w:rsidRDefault="00A10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 uzyskuje w ramach zajęć o charakterze praktycznym, takich jak zajęcia laboratoryjne, projektowe, itp.:</w:t>
            </w:r>
          </w:p>
        </w:tc>
        <w:tc>
          <w:tcPr>
            <w:tcW w:w="2552" w:type="dxa"/>
            <w:vAlign w:val="center"/>
          </w:tcPr>
          <w:p w:rsidR="00560118" w:rsidRDefault="00A10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32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h</w:t>
            </w:r>
          </w:p>
          <w:p w:rsidR="00560118" w:rsidRDefault="00A10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1,5 ECTS</w:t>
            </w:r>
          </w:p>
        </w:tc>
      </w:tr>
    </w:tbl>
    <w:p w:rsidR="00560118" w:rsidRDefault="0056011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560118" w:rsidRDefault="00A101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Wskaźniki ilościowe charakteryzujące moduł/przedmiot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>25)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: Rośliny ogrodnicze w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fitoremediacji</w:t>
      </w:r>
      <w:proofErr w:type="spellEnd"/>
    </w:p>
    <w:tbl>
      <w:tblPr>
        <w:tblStyle w:val="a1"/>
        <w:tblW w:w="101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35"/>
        <w:gridCol w:w="2520"/>
      </w:tblGrid>
      <w:tr w:rsidR="00560118" w:rsidRPr="00BA3649">
        <w:trPr>
          <w:trHeight w:val="380"/>
          <w:jc w:val="center"/>
        </w:trPr>
        <w:tc>
          <w:tcPr>
            <w:tcW w:w="7635" w:type="dxa"/>
            <w:vAlign w:val="center"/>
          </w:tcPr>
          <w:p w:rsidR="00560118" w:rsidRDefault="00A10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</w:t>
            </w:r>
          </w:p>
          <w:p w:rsidR="00560118" w:rsidRDefault="00A10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Wykłady</w:t>
            </w:r>
          </w:p>
          <w:p w:rsidR="00560118" w:rsidRDefault="00A10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 laboratoryjne</w:t>
            </w:r>
          </w:p>
          <w:p w:rsidR="00560118" w:rsidRDefault="00A10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Dokończenie zadań prowadzonych podczas ćwiczeń</w:t>
            </w:r>
          </w:p>
          <w:p w:rsidR="00560118" w:rsidRDefault="00A10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do zaliczenia</w:t>
            </w:r>
          </w:p>
          <w:p w:rsidR="00560118" w:rsidRDefault="00A10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Udział w konsultacjach</w:t>
            </w:r>
          </w:p>
          <w:p w:rsidR="00560118" w:rsidRDefault="00A10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Obecność na zaliczeniu</w:t>
            </w:r>
          </w:p>
          <w:p w:rsidR="00560118" w:rsidRDefault="00A10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Razem</w:t>
            </w:r>
          </w:p>
          <w:p w:rsidR="00560118" w:rsidRDefault="005601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2520" w:type="dxa"/>
            <w:vAlign w:val="center"/>
          </w:tcPr>
          <w:p w:rsidR="00560118" w:rsidRPr="00A10136" w:rsidRDefault="005601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</w:p>
          <w:p w:rsidR="00560118" w:rsidRPr="00A10136" w:rsidRDefault="005601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</w:p>
          <w:p w:rsidR="00560118" w:rsidRPr="00A10136" w:rsidRDefault="00A10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A10136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18 h</w:t>
            </w:r>
          </w:p>
          <w:p w:rsidR="00560118" w:rsidRPr="00A10136" w:rsidRDefault="00A10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A10136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9 h</w:t>
            </w:r>
          </w:p>
          <w:p w:rsidR="00560118" w:rsidRPr="00A10136" w:rsidRDefault="00A10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A10136">
              <w:rPr>
                <w:rFonts w:ascii="Arial" w:eastAsia="Arial" w:hAnsi="Arial" w:cs="Arial"/>
                <w:sz w:val="16"/>
                <w:szCs w:val="16"/>
                <w:lang w:val="en-GB"/>
              </w:rPr>
              <w:t>15</w:t>
            </w:r>
            <w:r w:rsidRPr="00A10136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 xml:space="preserve"> h</w:t>
            </w:r>
          </w:p>
          <w:p w:rsidR="00560118" w:rsidRPr="00A10136" w:rsidRDefault="00A10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A10136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20 h</w:t>
            </w:r>
          </w:p>
          <w:p w:rsidR="00560118" w:rsidRPr="00A10136" w:rsidRDefault="00A10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A10136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8 h</w:t>
            </w:r>
          </w:p>
          <w:p w:rsidR="00560118" w:rsidRPr="00A10136" w:rsidRDefault="00A10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A10136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2 h</w:t>
            </w:r>
          </w:p>
          <w:p w:rsidR="00560118" w:rsidRPr="00A10136" w:rsidRDefault="00A10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A10136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GB"/>
              </w:rPr>
              <w:t>72 h</w:t>
            </w:r>
          </w:p>
          <w:p w:rsidR="00560118" w:rsidRPr="00A10136" w:rsidRDefault="00A10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A10136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GB"/>
              </w:rPr>
              <w:t>3,0 ECTS</w:t>
            </w:r>
          </w:p>
        </w:tc>
      </w:tr>
      <w:tr w:rsidR="00560118">
        <w:trPr>
          <w:trHeight w:val="380"/>
          <w:jc w:val="center"/>
        </w:trPr>
        <w:tc>
          <w:tcPr>
            <w:tcW w:w="7635" w:type="dxa"/>
            <w:vAlign w:val="center"/>
          </w:tcPr>
          <w:p w:rsidR="00560118" w:rsidRDefault="00A10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uzyskuje na zajęciach wymagających bezpośredniego udziału nauczycieli akademickich:</w:t>
            </w:r>
          </w:p>
          <w:p w:rsidR="00560118" w:rsidRDefault="00A10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Wykłady</w:t>
            </w:r>
          </w:p>
          <w:p w:rsidR="00560118" w:rsidRDefault="00A10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 laboratoryjne</w:t>
            </w:r>
          </w:p>
          <w:p w:rsidR="00560118" w:rsidRDefault="00A10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Udział w konsultacjach</w:t>
            </w:r>
          </w:p>
          <w:p w:rsidR="00560118" w:rsidRDefault="00A10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Obecność na zaliczeniu</w:t>
            </w:r>
          </w:p>
          <w:p w:rsidR="00560118" w:rsidRDefault="00A10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Razem</w:t>
            </w:r>
          </w:p>
          <w:p w:rsidR="00560118" w:rsidRDefault="005601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2520" w:type="dxa"/>
            <w:vAlign w:val="center"/>
          </w:tcPr>
          <w:p w:rsidR="00560118" w:rsidRDefault="005601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560118" w:rsidRDefault="005601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560118" w:rsidRDefault="00A10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 h</w:t>
            </w:r>
          </w:p>
          <w:p w:rsidR="00560118" w:rsidRDefault="00A10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 h</w:t>
            </w:r>
          </w:p>
          <w:p w:rsidR="00560118" w:rsidRDefault="00A10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 h</w:t>
            </w:r>
          </w:p>
          <w:p w:rsidR="00560118" w:rsidRDefault="00A10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 h</w:t>
            </w:r>
          </w:p>
          <w:p w:rsidR="00560118" w:rsidRDefault="00A10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37 h</w:t>
            </w:r>
          </w:p>
          <w:p w:rsidR="00560118" w:rsidRDefault="00A10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1,5 ECTS</w:t>
            </w:r>
          </w:p>
        </w:tc>
      </w:tr>
      <w:tr w:rsidR="00560118">
        <w:trPr>
          <w:trHeight w:val="380"/>
          <w:jc w:val="center"/>
        </w:trPr>
        <w:tc>
          <w:tcPr>
            <w:tcW w:w="7635" w:type="dxa"/>
            <w:vAlign w:val="center"/>
          </w:tcPr>
          <w:p w:rsidR="00560118" w:rsidRDefault="00A10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 uzyskuje w ramach zajęć o charakterze praktycznym, takich jak zajęcia laboratoryjne, projektowe, itp.:</w:t>
            </w:r>
          </w:p>
          <w:p w:rsidR="00560118" w:rsidRDefault="00A10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 laboratoryjne</w:t>
            </w:r>
          </w:p>
          <w:p w:rsidR="00560118" w:rsidRDefault="00A10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Dokończenie zadań prowadzonych podczas ćwiczeń</w:t>
            </w:r>
          </w:p>
          <w:p w:rsidR="00560118" w:rsidRDefault="00A10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Udział w konsultacjach</w:t>
            </w:r>
          </w:p>
          <w:p w:rsidR="00560118" w:rsidRDefault="00A10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Razem</w:t>
            </w:r>
          </w:p>
          <w:p w:rsidR="00560118" w:rsidRDefault="005601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2520" w:type="dxa"/>
            <w:vAlign w:val="center"/>
          </w:tcPr>
          <w:p w:rsidR="00560118" w:rsidRDefault="005601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560118" w:rsidRDefault="005601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560118" w:rsidRDefault="00A10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 h</w:t>
            </w:r>
          </w:p>
          <w:p w:rsidR="00560118" w:rsidRDefault="00A10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h</w:t>
            </w:r>
          </w:p>
          <w:p w:rsidR="00560118" w:rsidRDefault="00A10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 h</w:t>
            </w:r>
          </w:p>
          <w:p w:rsidR="00560118" w:rsidRDefault="00A10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32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h</w:t>
            </w:r>
          </w:p>
          <w:p w:rsidR="00560118" w:rsidRDefault="00A10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1,5 ECTS</w:t>
            </w:r>
          </w:p>
        </w:tc>
      </w:tr>
    </w:tbl>
    <w:p w:rsidR="00560118" w:rsidRDefault="0056011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560118" w:rsidRDefault="00A10136">
      <w:pPr>
        <w:pBdr>
          <w:top w:val="nil"/>
          <w:left w:val="nil"/>
          <w:bottom w:val="nil"/>
          <w:right w:val="nil"/>
          <w:between w:val="nil"/>
        </w:pBdr>
        <w:ind w:left="141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Tabela zgodności kierunkowych efektów kształcenia z efektami przedmiotu 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>26)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Rośliny ogrodnicze w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fitoremediacji</w:t>
      </w:r>
      <w:proofErr w:type="spellEnd"/>
    </w:p>
    <w:tbl>
      <w:tblPr>
        <w:tblStyle w:val="a2"/>
        <w:tblW w:w="101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55"/>
        <w:gridCol w:w="6300"/>
        <w:gridCol w:w="2400"/>
      </w:tblGrid>
      <w:tr w:rsidR="00560118">
        <w:trPr>
          <w:jc w:val="center"/>
        </w:trPr>
        <w:tc>
          <w:tcPr>
            <w:tcW w:w="1455" w:type="dxa"/>
          </w:tcPr>
          <w:p w:rsidR="00560118" w:rsidRDefault="00A10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 /symbol efektu</w:t>
            </w:r>
          </w:p>
        </w:tc>
        <w:tc>
          <w:tcPr>
            <w:tcW w:w="6300" w:type="dxa"/>
          </w:tcPr>
          <w:p w:rsidR="00560118" w:rsidRDefault="00A10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Wymienione w wierszu efekty kształcenia:</w:t>
            </w:r>
          </w:p>
        </w:tc>
        <w:tc>
          <w:tcPr>
            <w:tcW w:w="2400" w:type="dxa"/>
          </w:tcPr>
          <w:p w:rsidR="00560118" w:rsidRDefault="00A10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Odniesienie do efektów dla programu kształcenia na kierunku</w:t>
            </w:r>
          </w:p>
        </w:tc>
      </w:tr>
      <w:tr w:rsidR="00560118">
        <w:trPr>
          <w:jc w:val="center"/>
        </w:trPr>
        <w:tc>
          <w:tcPr>
            <w:tcW w:w="1455" w:type="dxa"/>
          </w:tcPr>
          <w:p w:rsidR="00560118" w:rsidRDefault="00A10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0" w:type="dxa"/>
            <w:vAlign w:val="center"/>
          </w:tcPr>
          <w:p w:rsidR="00560118" w:rsidRDefault="00A10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zna podstawy fizjologiczne i środowiskowe na których opiera się biotechnologia środowiskowa zwana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fitoremediacją</w:t>
            </w:r>
            <w:proofErr w:type="spellEnd"/>
          </w:p>
        </w:tc>
        <w:tc>
          <w:tcPr>
            <w:tcW w:w="2400" w:type="dxa"/>
            <w:vAlign w:val="center"/>
          </w:tcPr>
          <w:p w:rsidR="00560118" w:rsidRDefault="00A10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K_W01+++, K_W03+++, K_W04++</w:t>
            </w:r>
          </w:p>
        </w:tc>
      </w:tr>
      <w:tr w:rsidR="00560118">
        <w:trPr>
          <w:jc w:val="center"/>
        </w:trPr>
        <w:tc>
          <w:tcPr>
            <w:tcW w:w="1455" w:type="dxa"/>
          </w:tcPr>
          <w:p w:rsidR="00560118" w:rsidRDefault="00A10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300" w:type="dxa"/>
            <w:vAlign w:val="center"/>
          </w:tcPr>
          <w:p w:rsidR="00560118" w:rsidRDefault="00A10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zna podstawowe mechanizmy obronne roślin przed zanieczyszczeniami metalami ciężkimi i związkami organicznymi</w:t>
            </w:r>
          </w:p>
        </w:tc>
        <w:tc>
          <w:tcPr>
            <w:tcW w:w="2400" w:type="dxa"/>
            <w:vAlign w:val="center"/>
          </w:tcPr>
          <w:p w:rsidR="00560118" w:rsidRDefault="00A10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K_W05+, K_W06+++</w:t>
            </w:r>
          </w:p>
        </w:tc>
      </w:tr>
      <w:tr w:rsidR="00560118">
        <w:trPr>
          <w:jc w:val="center"/>
        </w:trPr>
        <w:tc>
          <w:tcPr>
            <w:tcW w:w="1455" w:type="dxa"/>
          </w:tcPr>
          <w:p w:rsidR="00560118" w:rsidRDefault="00A10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300" w:type="dxa"/>
            <w:vAlign w:val="center"/>
          </w:tcPr>
          <w:p w:rsidR="00560118" w:rsidRDefault="00A10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wykazuje się znajomością głównych zanieczyszczeń gleby, wody i powietrza</w:t>
            </w:r>
          </w:p>
        </w:tc>
        <w:tc>
          <w:tcPr>
            <w:tcW w:w="2400" w:type="dxa"/>
            <w:vAlign w:val="center"/>
          </w:tcPr>
          <w:p w:rsidR="00560118" w:rsidRDefault="00A10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K_W11+, K_W14+++ </w:t>
            </w:r>
          </w:p>
        </w:tc>
      </w:tr>
      <w:tr w:rsidR="00560118">
        <w:trPr>
          <w:jc w:val="center"/>
        </w:trPr>
        <w:tc>
          <w:tcPr>
            <w:tcW w:w="1455" w:type="dxa"/>
          </w:tcPr>
          <w:p w:rsidR="00560118" w:rsidRDefault="00A10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300" w:type="dxa"/>
            <w:vAlign w:val="center"/>
          </w:tcPr>
          <w:p w:rsidR="00560118" w:rsidRDefault="00A10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potrafi wykorzystać rośliny ogrodnicze w technologii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fitoremediacji</w:t>
            </w:r>
            <w:proofErr w:type="spellEnd"/>
          </w:p>
        </w:tc>
        <w:tc>
          <w:tcPr>
            <w:tcW w:w="2400" w:type="dxa"/>
            <w:vAlign w:val="center"/>
          </w:tcPr>
          <w:p w:rsidR="00560118" w:rsidRDefault="00A10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K_W06+, K_W07+++, K_U05++</w:t>
            </w:r>
          </w:p>
        </w:tc>
      </w:tr>
      <w:tr w:rsidR="00560118">
        <w:trPr>
          <w:trHeight w:val="60"/>
          <w:jc w:val="center"/>
        </w:trPr>
        <w:tc>
          <w:tcPr>
            <w:tcW w:w="1455" w:type="dxa"/>
          </w:tcPr>
          <w:p w:rsidR="00560118" w:rsidRDefault="00A10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300" w:type="dxa"/>
            <w:vAlign w:val="center"/>
          </w:tcPr>
          <w:p w:rsidR="00560118" w:rsidRDefault="00A10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potrafi zalecić najbardziej korzystny wariant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fitoremediacji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dla danego skażonego stanowiska</w:t>
            </w:r>
          </w:p>
        </w:tc>
        <w:tc>
          <w:tcPr>
            <w:tcW w:w="2400" w:type="dxa"/>
            <w:vAlign w:val="center"/>
          </w:tcPr>
          <w:p w:rsidR="00560118" w:rsidRDefault="00A10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K_U09+++, K_U14++, K_U16++</w:t>
            </w:r>
          </w:p>
        </w:tc>
      </w:tr>
      <w:tr w:rsidR="00560118">
        <w:trPr>
          <w:jc w:val="center"/>
        </w:trPr>
        <w:tc>
          <w:tcPr>
            <w:tcW w:w="1455" w:type="dxa"/>
          </w:tcPr>
          <w:p w:rsidR="00560118" w:rsidRDefault="00A10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6300" w:type="dxa"/>
            <w:vAlign w:val="center"/>
          </w:tcPr>
          <w:p w:rsidR="00560118" w:rsidRDefault="00A10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wykazuje dużą odpowiedzialność w ocenie zagrożeń środowiskowych, uwzględniając szeroko rozumiany interes społeczny</w:t>
            </w:r>
          </w:p>
        </w:tc>
        <w:tc>
          <w:tcPr>
            <w:tcW w:w="2400" w:type="dxa"/>
            <w:vAlign w:val="center"/>
          </w:tcPr>
          <w:p w:rsidR="00560118" w:rsidRDefault="00A10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K_K04+++, K_K05+++, K_K07+++</w:t>
            </w:r>
          </w:p>
        </w:tc>
      </w:tr>
    </w:tbl>
    <w:p w:rsidR="00560118" w:rsidRDefault="0056011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sectPr w:rsidR="00560118" w:rsidSect="00F7190D">
      <w:pgSz w:w="11906" w:h="16838"/>
      <w:pgMar w:top="397" w:right="1418" w:bottom="284" w:left="425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23153E"/>
    <w:multiLevelType w:val="multilevel"/>
    <w:tmpl w:val="6418542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560118"/>
    <w:rsid w:val="003E1D23"/>
    <w:rsid w:val="00560118"/>
    <w:rsid w:val="00A10136"/>
    <w:rsid w:val="00BA3649"/>
    <w:rsid w:val="00D51CE5"/>
    <w:rsid w:val="00F7190D"/>
    <w:rsid w:val="00FC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1806D-6C3D-4060-B5AD-C05045C1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51CE5"/>
  </w:style>
  <w:style w:type="paragraph" w:styleId="Nagwek1">
    <w:name w:val="heading 1"/>
    <w:basedOn w:val="Normalny"/>
    <w:next w:val="Normalny"/>
    <w:rsid w:val="00D51CE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D51CE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D51CE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D51CE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D51CE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D51CE5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D51CE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D51CE5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D51CE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51CE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D51CE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D51CE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rsid w:val="00D51CE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1255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Geszprych</dc:creator>
  <cp:lastModifiedBy>POEO-D</cp:lastModifiedBy>
  <cp:revision>6</cp:revision>
  <dcterms:created xsi:type="dcterms:W3CDTF">2019-09-09T12:57:00Z</dcterms:created>
  <dcterms:modified xsi:type="dcterms:W3CDTF">2019-10-08T10:21:00Z</dcterms:modified>
</cp:coreProperties>
</file>